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A366E" w14:textId="77777777" w:rsidR="00627A67" w:rsidRPr="009465A5" w:rsidRDefault="00851BD2" w:rsidP="00851BD2">
      <w:pPr>
        <w:pStyle w:val="Heading2"/>
        <w:rPr>
          <w:b/>
          <w:sz w:val="36"/>
          <w:szCs w:val="36"/>
        </w:rPr>
      </w:pPr>
      <w:r w:rsidRPr="009465A5">
        <w:rPr>
          <w:b/>
          <w:sz w:val="36"/>
          <w:szCs w:val="36"/>
        </w:rPr>
        <w:t>OUR TECHNOLOGY</w:t>
      </w:r>
    </w:p>
    <w:p w14:paraId="3C96FCA4" w14:textId="77777777" w:rsidR="006D3EC8" w:rsidRDefault="00627A67" w:rsidP="006D3EC8">
      <w:pPr>
        <w:rPr>
          <w:rFonts w:eastAsia="Times New Roman" w:cs="Times New Roman"/>
          <w:lang w:eastAsia="en-AU"/>
        </w:rPr>
      </w:pPr>
      <w:r w:rsidRPr="00C07EC3">
        <w:t>Clean TeQ’s Clean-iX</w:t>
      </w:r>
      <w:r w:rsidRPr="00C07EC3">
        <w:rPr>
          <w:vertAlign w:val="superscript"/>
        </w:rPr>
        <w:t>®</w:t>
      </w:r>
      <w:r w:rsidRPr="00C07EC3">
        <w:t xml:space="preserve"> continuous ion exchange </w:t>
      </w:r>
      <w:r w:rsidR="0042784A" w:rsidRPr="00C07EC3">
        <w:t>process</w:t>
      </w:r>
      <w:r w:rsidRPr="00C07EC3">
        <w:t xml:space="preserve"> provide</w:t>
      </w:r>
      <w:r w:rsidR="0042784A" w:rsidRPr="00C07EC3">
        <w:t>s highly</w:t>
      </w:r>
      <w:r w:rsidRPr="00C07EC3">
        <w:t xml:space="preserve"> efficient </w:t>
      </w:r>
      <w:r w:rsidR="0042784A" w:rsidRPr="00C07EC3">
        <w:t>extraction and purification for</w:t>
      </w:r>
      <w:r w:rsidRPr="00C07EC3">
        <w:t xml:space="preserve"> a range of valuable strategic metals from slurries and solutions.</w:t>
      </w:r>
      <w:r w:rsidR="0042784A" w:rsidRPr="00C07EC3">
        <w:t xml:space="preserve">  </w:t>
      </w:r>
      <w:r w:rsidR="006D3EC8" w:rsidRPr="006D3EC8">
        <w:rPr>
          <w:rFonts w:eastAsia="Times New Roman" w:cs="Times New Roman"/>
          <w:lang w:eastAsia="en-AU"/>
        </w:rPr>
        <w:t xml:space="preserve">Clean TeQ is focused on applying its proprietary ion exchange processes to the recovery of strategic metals from ores and tailings where the conventional routes are economically marginal or pose an environmental burden that is not sustainable. </w:t>
      </w:r>
    </w:p>
    <w:p w14:paraId="076701E3" w14:textId="77777777" w:rsidR="0042784A" w:rsidRDefault="0042784A" w:rsidP="0042784A">
      <w:pPr>
        <w:rPr>
          <w:rFonts w:eastAsia="Times New Roman" w:cs="Times New Roman"/>
          <w:lang w:eastAsia="en-AU"/>
        </w:rPr>
      </w:pPr>
      <w:r>
        <w:rPr>
          <w:rFonts w:eastAsia="Times New Roman" w:cs="Times New Roman"/>
          <w:lang w:eastAsia="en-AU"/>
        </w:rPr>
        <w:t>Clean-iX</w:t>
      </w:r>
      <w:r w:rsidRPr="009F3A71">
        <w:rPr>
          <w:rFonts w:eastAsia="Times New Roman" w:cs="Times New Roman"/>
          <w:vertAlign w:val="superscript"/>
          <w:lang w:eastAsia="en-AU"/>
        </w:rPr>
        <w:t>®</w:t>
      </w:r>
      <w:r>
        <w:rPr>
          <w:rFonts w:eastAsia="Times New Roman" w:cs="Times New Roman"/>
          <w:lang w:eastAsia="en-AU"/>
        </w:rPr>
        <w:t xml:space="preserve"> covers the complete spectrum of leach systems (both acid and alkaline):</w:t>
      </w:r>
    </w:p>
    <w:p w14:paraId="15C020EF" w14:textId="77777777" w:rsidR="0042784A" w:rsidRDefault="0042784A" w:rsidP="0042784A">
      <w:pPr>
        <w:pStyle w:val="ListParagraph"/>
        <w:numPr>
          <w:ilvl w:val="0"/>
          <w:numId w:val="21"/>
        </w:numPr>
        <w:rPr>
          <w:rFonts w:eastAsia="Times New Roman" w:cs="Times New Roman"/>
          <w:lang w:eastAsia="en-AU"/>
        </w:rPr>
      </w:pPr>
      <w:r>
        <w:rPr>
          <w:rFonts w:eastAsia="Times New Roman" w:cs="Times New Roman"/>
          <w:lang w:eastAsia="en-AU"/>
        </w:rPr>
        <w:t>Continuous Resin-In-Column (cLX) for clarified leach solutions (&lt;4% solids);</w:t>
      </w:r>
    </w:p>
    <w:p w14:paraId="06BC1E89" w14:textId="77777777" w:rsidR="0042784A" w:rsidRDefault="0042784A" w:rsidP="0042784A">
      <w:pPr>
        <w:pStyle w:val="ListParagraph"/>
        <w:numPr>
          <w:ilvl w:val="0"/>
          <w:numId w:val="21"/>
        </w:numPr>
        <w:rPr>
          <w:rFonts w:eastAsia="Times New Roman" w:cs="Times New Roman"/>
          <w:lang w:eastAsia="en-AU"/>
        </w:rPr>
      </w:pPr>
      <w:r>
        <w:rPr>
          <w:rFonts w:eastAsia="Times New Roman" w:cs="Times New Roman"/>
          <w:lang w:eastAsia="en-AU"/>
        </w:rPr>
        <w:t>Continuous Resin-In-Pulp (cRIP) and Resin-in-Leach (cRIL) for slurries (4-50% solids);</w:t>
      </w:r>
    </w:p>
    <w:p w14:paraId="79EC1999" w14:textId="77777777" w:rsidR="0042784A" w:rsidRPr="0042784A" w:rsidRDefault="0042784A" w:rsidP="006D3EC8">
      <w:pPr>
        <w:pStyle w:val="ListParagraph"/>
        <w:numPr>
          <w:ilvl w:val="0"/>
          <w:numId w:val="21"/>
        </w:numPr>
        <w:rPr>
          <w:rFonts w:eastAsia="Times New Roman" w:cs="Times New Roman"/>
          <w:lang w:eastAsia="en-AU"/>
        </w:rPr>
      </w:pPr>
      <w:r>
        <w:rPr>
          <w:rFonts w:eastAsia="Times New Roman" w:cs="Times New Roman"/>
          <w:lang w:eastAsia="en-AU"/>
        </w:rPr>
        <w:t>Continuous Elution (U-Column) for metal elution and purification.</w:t>
      </w:r>
    </w:p>
    <w:p w14:paraId="719F0CBF" w14:textId="77777777" w:rsidR="0042784A" w:rsidRDefault="0042784A" w:rsidP="006D3EC8">
      <w:pPr>
        <w:rPr>
          <w:rFonts w:eastAsia="Times New Roman" w:cs="Times New Roman"/>
          <w:lang w:eastAsia="en-AU"/>
        </w:rPr>
      </w:pPr>
      <w:r>
        <w:rPr>
          <w:rFonts w:eastAsia="Times New Roman" w:cs="Times New Roman"/>
          <w:lang w:eastAsia="en-AU"/>
        </w:rPr>
        <w:t>Clean-iX® has the following benefits for mining applications:</w:t>
      </w:r>
    </w:p>
    <w:p w14:paraId="7DB8F97D" w14:textId="77777777" w:rsidR="0042784A" w:rsidRDefault="0042784A" w:rsidP="0042784A">
      <w:pPr>
        <w:pStyle w:val="ListParagraph"/>
        <w:numPr>
          <w:ilvl w:val="0"/>
          <w:numId w:val="20"/>
        </w:numPr>
        <w:ind w:right="257"/>
      </w:pPr>
      <w:r>
        <w:t>Optimised resin inventories, up to 25% less than fixed or batch systems;</w:t>
      </w:r>
    </w:p>
    <w:p w14:paraId="3C482539" w14:textId="77777777" w:rsidR="0042784A" w:rsidRDefault="0042784A" w:rsidP="0042784A">
      <w:pPr>
        <w:pStyle w:val="ListParagraph"/>
        <w:numPr>
          <w:ilvl w:val="0"/>
          <w:numId w:val="20"/>
        </w:numPr>
        <w:ind w:right="257"/>
      </w:pPr>
      <w:r>
        <w:t>Simple to operate and maintain;</w:t>
      </w:r>
    </w:p>
    <w:p w14:paraId="36C8DC71" w14:textId="77777777" w:rsidR="0042784A" w:rsidRDefault="0042784A" w:rsidP="006D3EC8">
      <w:pPr>
        <w:pStyle w:val="ListParagraph"/>
        <w:numPr>
          <w:ilvl w:val="0"/>
          <w:numId w:val="20"/>
        </w:numPr>
        <w:ind w:right="257"/>
      </w:pPr>
      <w:r>
        <w:t xml:space="preserve">High turn turn-down ratios to allow for fluctuations in feed grade and operations; </w:t>
      </w:r>
    </w:p>
    <w:p w14:paraId="52BDA1A2" w14:textId="77777777" w:rsidR="0042784A" w:rsidRPr="0042784A" w:rsidRDefault="0042784A" w:rsidP="006D3EC8">
      <w:pPr>
        <w:pStyle w:val="ListParagraph"/>
        <w:numPr>
          <w:ilvl w:val="0"/>
          <w:numId w:val="20"/>
        </w:numPr>
        <w:ind w:right="257"/>
      </w:pPr>
    </w:p>
    <w:p w14:paraId="4FEEA1BC" w14:textId="77777777" w:rsidR="006D3EC8" w:rsidRDefault="006D3EC8" w:rsidP="006D3EC8">
      <w:pPr>
        <w:rPr>
          <w:rFonts w:eastAsia="Times New Roman" w:cs="Times New Roman"/>
          <w:lang w:eastAsia="en-AU"/>
        </w:rPr>
      </w:pPr>
      <w:r w:rsidRPr="006D3EC8">
        <w:rPr>
          <w:rFonts w:eastAsia="Times New Roman" w:cs="Times New Roman"/>
          <w:lang w:eastAsia="en-AU"/>
        </w:rPr>
        <w:t xml:space="preserve">Clean TeQ will own, joint venture or develop assets where the application of our technical approach opens significant values that were previously not able to be captured. Focus will be on ores that are lower grade </w:t>
      </w:r>
      <w:r w:rsidR="0042784A">
        <w:rPr>
          <w:rFonts w:eastAsia="Times New Roman" w:cs="Times New Roman"/>
          <w:lang w:eastAsia="en-AU"/>
        </w:rPr>
        <w:t xml:space="preserve">or polymetallic </w:t>
      </w:r>
      <w:r w:rsidRPr="006D3EC8">
        <w:rPr>
          <w:rFonts w:eastAsia="Times New Roman" w:cs="Times New Roman"/>
          <w:lang w:eastAsia="en-AU"/>
        </w:rPr>
        <w:t>where the advantages of using a direct concentration process provide the economic driver. Those metals that are of a strategic nature and where future offtake is growing are also on our radar.</w:t>
      </w:r>
    </w:p>
    <w:p w14:paraId="10BF99FE" w14:textId="77777777" w:rsidR="009F3A71" w:rsidRPr="009F3A71" w:rsidRDefault="009F3A71" w:rsidP="009F3A71">
      <w:pPr>
        <w:rPr>
          <w:rFonts w:eastAsia="Times New Roman" w:cs="Times New Roman"/>
          <w:lang w:eastAsia="en-AU"/>
        </w:rPr>
      </w:pPr>
    </w:p>
    <w:p w14:paraId="21835FF2" w14:textId="77777777" w:rsidR="00627A67" w:rsidRPr="009F3A71" w:rsidRDefault="006967A3" w:rsidP="009F3A71">
      <w:pPr>
        <w:pStyle w:val="Heading2"/>
      </w:pPr>
      <w:r>
        <w:t>Continuous Resin-In-Column (c</w:t>
      </w:r>
      <w:r w:rsidR="00627A67" w:rsidRPr="009F3A71">
        <w:t>LX)</w:t>
      </w:r>
    </w:p>
    <w:p w14:paraId="48048302" w14:textId="77777777" w:rsidR="00627A67" w:rsidRDefault="00627A67" w:rsidP="009F3A71">
      <w:r>
        <w:t>Clean-iX</w:t>
      </w:r>
      <w:r w:rsidRPr="009F3A71">
        <w:rPr>
          <w:vertAlign w:val="superscript"/>
        </w:rPr>
        <w:t>®</w:t>
      </w:r>
      <w:r>
        <w:t xml:space="preserve"> Continuous Resin-In-Column (cLX) is a continuous counter-current process that extracts metals from clarified leach solutions.</w:t>
      </w:r>
      <w:r w:rsidR="0042784A">
        <w:t xml:space="preserve">  The cLX system uses moving packed bed resin columns, where the solution and resin are contacted in counter-current flows. The Clean-iX</w:t>
      </w:r>
      <w:r w:rsidR="0042784A" w:rsidRPr="009F3A71">
        <w:rPr>
          <w:vertAlign w:val="superscript"/>
        </w:rPr>
        <w:t>®</w:t>
      </w:r>
      <w:r w:rsidR="0042784A">
        <w:t xml:space="preserve"> cLX system is the most efficient method of direct adsorption available and is suitable for large and small flow rates.  cLX operates on solutions with up to 4% solids, minimising pre-filtration requirements.</w:t>
      </w:r>
    </w:p>
    <w:p w14:paraId="7022B120" w14:textId="77777777" w:rsidR="0042784A" w:rsidRDefault="0042784A" w:rsidP="0042784A">
      <w:pPr>
        <w:jc w:val="center"/>
      </w:pPr>
      <w:r>
        <w:rPr>
          <w:noProof/>
          <w:lang w:val="en-US"/>
        </w:rPr>
        <w:drawing>
          <wp:inline distT="0" distB="0" distL="0" distR="0" wp14:anchorId="74EB9B35" wp14:editId="0DAE2EA0">
            <wp:extent cx="2010933" cy="1962150"/>
            <wp:effectExtent l="0" t="0" r="8890" b="0"/>
            <wp:docPr id="4" name="Picture 4" descr="http://www.cleanteq.com/wp-content/uploads/c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anteq.com/wp-content/uploads/cL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3275" cy="1964435"/>
                    </a:xfrm>
                    <a:prstGeom prst="rect">
                      <a:avLst/>
                    </a:prstGeom>
                    <a:noFill/>
                    <a:ln>
                      <a:noFill/>
                    </a:ln>
                  </pic:spPr>
                </pic:pic>
              </a:graphicData>
            </a:graphic>
          </wp:inline>
        </w:drawing>
      </w:r>
    </w:p>
    <w:p w14:paraId="7DF20AD0" w14:textId="77777777" w:rsidR="00627A67" w:rsidRPr="009F3A71" w:rsidRDefault="006967A3" w:rsidP="009F3A71">
      <w:pPr>
        <w:pStyle w:val="Heading2"/>
      </w:pPr>
      <w:r>
        <w:lastRenderedPageBreak/>
        <w:t>Continuous Resin-In-Pulp</w:t>
      </w:r>
      <w:r w:rsidR="00FC5304" w:rsidRPr="009F3A71">
        <w:t xml:space="preserve"> (c</w:t>
      </w:r>
      <w:r w:rsidR="00627A67" w:rsidRPr="009F3A71">
        <w:t>RIP)</w:t>
      </w:r>
    </w:p>
    <w:p w14:paraId="4995C6DF" w14:textId="77777777" w:rsidR="00627A67" w:rsidRDefault="00627A67" w:rsidP="009F3A71">
      <w:r>
        <w:t xml:space="preserve">Clean-iX® Continuous Resin-In-Pulp (cRIP) is a continuous </w:t>
      </w:r>
      <w:r w:rsidR="006967A3">
        <w:t>counter current</w:t>
      </w:r>
      <w:r>
        <w:t xml:space="preserve"> process that directly extracts metals from leached pulps (up to 50% /</w:t>
      </w:r>
      <w:r w:rsidRPr="0042784A">
        <w:rPr>
          <w:vertAlign w:val="subscript"/>
        </w:rPr>
        <w:t>w</w:t>
      </w:r>
      <w:r>
        <w:t xml:space="preserve"> solids)</w:t>
      </w:r>
      <w:r w:rsidR="0042784A">
        <w:t xml:space="preserve"> and with high resin concentrations (up to 40%</w:t>
      </w:r>
      <w:r w:rsidR="0042784A" w:rsidRPr="0042784A">
        <w:rPr>
          <w:vertAlign w:val="superscript"/>
        </w:rPr>
        <w:t>v</w:t>
      </w:r>
      <w:r w:rsidR="0042784A">
        <w:t>/</w:t>
      </w:r>
      <w:r w:rsidR="0042784A" w:rsidRPr="0042784A">
        <w:rPr>
          <w:vertAlign w:val="subscript"/>
        </w:rPr>
        <w:t>v</w:t>
      </w:r>
      <w:r w:rsidR="0042784A">
        <w:t>)</w:t>
      </w:r>
      <w:r>
        <w:t xml:space="preserve">. The resin </w:t>
      </w:r>
      <w:r w:rsidR="006967A3">
        <w:t>and slurry are</w:t>
      </w:r>
      <w:r>
        <w:t xml:space="preserve"> mixed directly </w:t>
      </w:r>
      <w:r w:rsidR="006967A3">
        <w:t>and moved counter curr</w:t>
      </w:r>
      <w:r w:rsidR="0042784A">
        <w:t>ently in a series of contactors, maximising the efficiency of the process and recovery of target metals.  cRIP systems can be integrated with any leaching, elution and purification technology.</w:t>
      </w:r>
    </w:p>
    <w:p w14:paraId="11FB35DA" w14:textId="77777777" w:rsidR="006967A3" w:rsidRDefault="006967A3" w:rsidP="009F3A71">
      <w:r>
        <w:t xml:space="preserve">In some applications, Continuous Resin-In-Leach (cRIL) gives higher leach recovery rates with a reduction in leaching lixiviants. Here, resin is contacted with slurry during the leaching process for metal extraction.  </w:t>
      </w:r>
    </w:p>
    <w:p w14:paraId="6D4DA1B1" w14:textId="77777777" w:rsidR="0042784A" w:rsidRDefault="0042784A" w:rsidP="0042784A">
      <w:pPr>
        <w:jc w:val="center"/>
      </w:pPr>
      <w:r>
        <w:rPr>
          <w:noProof/>
          <w:lang w:val="en-US"/>
        </w:rPr>
        <w:drawing>
          <wp:inline distT="0" distB="0" distL="0" distR="0" wp14:anchorId="6E3F7907" wp14:editId="1412F7A2">
            <wp:extent cx="2208384" cy="1638300"/>
            <wp:effectExtent l="0" t="0" r="1905" b="0"/>
            <wp:docPr id="3" name="Picture 3" descr="http://www.cleanteq.com/wp-content/uploads/c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eanteq.com/wp-content/uploads/cR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360" cy="1639766"/>
                    </a:xfrm>
                    <a:prstGeom prst="rect">
                      <a:avLst/>
                    </a:prstGeom>
                    <a:noFill/>
                    <a:ln>
                      <a:noFill/>
                    </a:ln>
                  </pic:spPr>
                </pic:pic>
              </a:graphicData>
            </a:graphic>
          </wp:inline>
        </w:drawing>
      </w:r>
    </w:p>
    <w:p w14:paraId="5640F7AA" w14:textId="77777777" w:rsidR="00627A67" w:rsidRPr="006967A3" w:rsidRDefault="006967A3" w:rsidP="006967A3">
      <w:pPr>
        <w:pStyle w:val="Heading2"/>
      </w:pPr>
      <w:r>
        <w:t>Continuous Elution</w:t>
      </w:r>
    </w:p>
    <w:p w14:paraId="156A120C" w14:textId="77777777" w:rsidR="00627A67" w:rsidRDefault="00627A67" w:rsidP="006967A3">
      <w:r>
        <w:t>Clean-iX</w:t>
      </w:r>
      <w:r w:rsidRPr="006967A3">
        <w:rPr>
          <w:vertAlign w:val="superscript"/>
        </w:rPr>
        <w:t>®</w:t>
      </w:r>
      <w:r>
        <w:t xml:space="preserve"> Elution systems use continuous counter</w:t>
      </w:r>
      <w:r w:rsidR="006967A3">
        <w:t xml:space="preserve"> </w:t>
      </w:r>
      <w:r>
        <w:t>current processing of loaded resins to produce a high purity and concentration metal product solutions.</w:t>
      </w:r>
      <w:r w:rsidR="006967A3">
        <w:t xml:space="preserve">  Clean TeQ’s patented U-Column Elution uses a “concentration desorption” process, concentrating the metal in solution as well as scrubbing impurities off the resin. This reduces or eliminates the requirement for down</w:t>
      </w:r>
      <w:r w:rsidR="0042784A">
        <w:t>stream purification processes as the product eluate stream contains a high concentration of target metals with minimal impurities.  Due to its high efficiency, Clean-iX® Elution systems typically have lower reagent consumptions (up to 33%) compared to batch systems.</w:t>
      </w:r>
    </w:p>
    <w:p w14:paraId="21430F4F" w14:textId="77777777" w:rsidR="0042784A" w:rsidRDefault="0042784A" w:rsidP="0042784A">
      <w:pPr>
        <w:jc w:val="center"/>
      </w:pPr>
      <w:r>
        <w:rPr>
          <w:noProof/>
          <w:lang w:val="en-US"/>
        </w:rPr>
        <w:drawing>
          <wp:inline distT="0" distB="0" distL="0" distR="0" wp14:anchorId="36B2BF85" wp14:editId="026A179A">
            <wp:extent cx="2628900" cy="2857500"/>
            <wp:effectExtent l="0" t="0" r="0" b="0"/>
            <wp:docPr id="2" name="Picture 2" descr="Clean TeQ Elution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 TeQ Elution Pl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857500"/>
                    </a:xfrm>
                    <a:prstGeom prst="rect">
                      <a:avLst/>
                    </a:prstGeom>
                    <a:noFill/>
                    <a:ln>
                      <a:noFill/>
                    </a:ln>
                  </pic:spPr>
                </pic:pic>
              </a:graphicData>
            </a:graphic>
          </wp:inline>
        </w:drawing>
      </w:r>
    </w:p>
    <w:p w14:paraId="24AEFEFA" w14:textId="77777777" w:rsidR="00627A67" w:rsidRPr="00784524" w:rsidRDefault="00784524" w:rsidP="00784524">
      <w:pPr>
        <w:pStyle w:val="Heading2"/>
      </w:pPr>
      <w:r>
        <w:lastRenderedPageBreak/>
        <w:t>Metals</w:t>
      </w:r>
    </w:p>
    <w:p w14:paraId="687875EA" w14:textId="77777777" w:rsidR="00627A67" w:rsidRDefault="00627A67" w:rsidP="00784524">
      <w:pPr>
        <w:jc w:val="left"/>
      </w:pPr>
      <w:r>
        <w:t>Clean-iX</w:t>
      </w:r>
      <w:r w:rsidR="00FC5304" w:rsidRPr="00784524">
        <w:rPr>
          <w:vertAlign w:val="superscript"/>
        </w:rPr>
        <w:t>®</w:t>
      </w:r>
      <w:r w:rsidR="00FC5304">
        <w:t xml:space="preserve"> can be used to recover the fo</w:t>
      </w:r>
      <w:r>
        <w:t>llowing metals: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8"/>
        <w:gridCol w:w="2264"/>
        <w:gridCol w:w="1319"/>
        <w:gridCol w:w="2095"/>
        <w:gridCol w:w="1740"/>
      </w:tblGrid>
      <w:tr w:rsidR="00627A67" w14:paraId="68A11A82" w14:textId="77777777" w:rsidTr="00627A67">
        <w:trPr>
          <w:tblCellSpacing w:w="15" w:type="dxa"/>
        </w:trPr>
        <w:tc>
          <w:tcPr>
            <w:tcW w:w="0" w:type="auto"/>
            <w:hideMark/>
          </w:tcPr>
          <w:p w14:paraId="70507B94" w14:textId="77777777" w:rsidR="00627A67" w:rsidRDefault="00627A67" w:rsidP="00784524">
            <w:pPr>
              <w:jc w:val="left"/>
            </w:pPr>
            <w:r>
              <w:rPr>
                <w:rStyle w:val="Strong"/>
                <w:rFonts w:ascii="robotocondensed-light-webfont" w:hAnsi="robotocondensed-light-webfont"/>
                <w:color w:val="6F6F6E"/>
                <w:spacing w:val="4"/>
              </w:rPr>
              <w:t>Precious Metals:</w:t>
            </w:r>
          </w:p>
          <w:p w14:paraId="5AA1DA58" w14:textId="77777777" w:rsidR="00627A67" w:rsidRDefault="00627A67" w:rsidP="00784524">
            <w:pPr>
              <w:jc w:val="left"/>
            </w:pPr>
            <w:r>
              <w:t>Gold</w:t>
            </w:r>
          </w:p>
          <w:p w14:paraId="0E424C4C" w14:textId="77777777" w:rsidR="00627A67" w:rsidRDefault="00627A67" w:rsidP="00784524">
            <w:pPr>
              <w:jc w:val="left"/>
            </w:pPr>
            <w:r>
              <w:t>Silver</w:t>
            </w:r>
          </w:p>
        </w:tc>
        <w:tc>
          <w:tcPr>
            <w:tcW w:w="0" w:type="auto"/>
            <w:hideMark/>
          </w:tcPr>
          <w:p w14:paraId="2075A96C" w14:textId="77777777" w:rsidR="00627A67" w:rsidRDefault="00627A67" w:rsidP="00784524">
            <w:pPr>
              <w:jc w:val="left"/>
            </w:pPr>
            <w:r>
              <w:rPr>
                <w:rStyle w:val="Strong"/>
                <w:rFonts w:ascii="robotocondensed-light-webfont" w:hAnsi="robotocondensed-light-webfont"/>
                <w:color w:val="6F6F6E"/>
                <w:spacing w:val="4"/>
              </w:rPr>
              <w:t>Platinum Group Metals:</w:t>
            </w:r>
          </w:p>
          <w:p w14:paraId="5CF15558" w14:textId="77777777" w:rsidR="00627A67" w:rsidRDefault="00627A67" w:rsidP="00784524">
            <w:pPr>
              <w:jc w:val="left"/>
            </w:pPr>
            <w:r>
              <w:t>Platinum</w:t>
            </w:r>
          </w:p>
          <w:p w14:paraId="31640B41" w14:textId="77777777" w:rsidR="00627A67" w:rsidRDefault="00627A67" w:rsidP="00784524">
            <w:pPr>
              <w:jc w:val="left"/>
            </w:pPr>
            <w:r>
              <w:t>Palladium</w:t>
            </w:r>
          </w:p>
          <w:p w14:paraId="661080DF" w14:textId="77777777" w:rsidR="00627A67" w:rsidRDefault="00627A67" w:rsidP="00784524">
            <w:pPr>
              <w:jc w:val="left"/>
            </w:pPr>
            <w:r>
              <w:t>Rhodium</w:t>
            </w:r>
          </w:p>
          <w:p w14:paraId="222CD70F" w14:textId="77777777" w:rsidR="00627A67" w:rsidRDefault="00627A67" w:rsidP="00784524">
            <w:pPr>
              <w:jc w:val="left"/>
            </w:pPr>
            <w:r>
              <w:t>Iridium</w:t>
            </w:r>
          </w:p>
        </w:tc>
        <w:tc>
          <w:tcPr>
            <w:tcW w:w="0" w:type="auto"/>
            <w:hideMark/>
          </w:tcPr>
          <w:p w14:paraId="2D433171" w14:textId="77777777" w:rsidR="00627A67" w:rsidRDefault="00627A67" w:rsidP="00784524">
            <w:pPr>
              <w:jc w:val="left"/>
            </w:pPr>
            <w:r>
              <w:rPr>
                <w:rStyle w:val="Strong"/>
                <w:rFonts w:ascii="robotocondensed-light-webfont" w:hAnsi="robotocondensed-light-webfont"/>
                <w:color w:val="6F6F6E"/>
                <w:spacing w:val="4"/>
              </w:rPr>
              <w:t>Base Metals:</w:t>
            </w:r>
          </w:p>
          <w:p w14:paraId="05CC9179" w14:textId="77777777" w:rsidR="00627A67" w:rsidRDefault="00627A67" w:rsidP="00784524">
            <w:pPr>
              <w:jc w:val="left"/>
            </w:pPr>
            <w:r>
              <w:t>Copper</w:t>
            </w:r>
          </w:p>
          <w:p w14:paraId="13F58522" w14:textId="77777777" w:rsidR="00627A67" w:rsidRDefault="00627A67" w:rsidP="00784524">
            <w:pPr>
              <w:jc w:val="left"/>
            </w:pPr>
            <w:r>
              <w:t>Nickel</w:t>
            </w:r>
          </w:p>
          <w:p w14:paraId="4D012957" w14:textId="77777777" w:rsidR="00627A67" w:rsidRDefault="00627A67" w:rsidP="00784524">
            <w:pPr>
              <w:jc w:val="left"/>
            </w:pPr>
            <w:r>
              <w:t>Cobalt</w:t>
            </w:r>
          </w:p>
          <w:p w14:paraId="409BCD17" w14:textId="77777777" w:rsidR="00627A67" w:rsidRDefault="00627A67" w:rsidP="00784524">
            <w:pPr>
              <w:jc w:val="left"/>
            </w:pPr>
            <w:r>
              <w:t>Zinc</w:t>
            </w:r>
          </w:p>
        </w:tc>
        <w:tc>
          <w:tcPr>
            <w:tcW w:w="0" w:type="auto"/>
            <w:hideMark/>
          </w:tcPr>
          <w:p w14:paraId="3417C712" w14:textId="77777777" w:rsidR="00627A67" w:rsidRDefault="00627A67" w:rsidP="00784524">
            <w:pPr>
              <w:jc w:val="left"/>
            </w:pPr>
            <w:r>
              <w:rPr>
                <w:rStyle w:val="Strong"/>
                <w:rFonts w:ascii="robotocondensed-light-webfont" w:hAnsi="robotocondensed-light-webfont"/>
                <w:color w:val="6F6F6E"/>
                <w:spacing w:val="4"/>
              </w:rPr>
              <w:t>Rare Earth Elements:</w:t>
            </w:r>
          </w:p>
          <w:p w14:paraId="0F3CBD9B" w14:textId="77777777" w:rsidR="00627A67" w:rsidRDefault="00627A67" w:rsidP="00784524">
            <w:pPr>
              <w:jc w:val="left"/>
            </w:pPr>
            <w:r>
              <w:t>Light (LRE)</w:t>
            </w:r>
          </w:p>
          <w:p w14:paraId="2842A266" w14:textId="77777777" w:rsidR="00627A67" w:rsidRDefault="00627A67" w:rsidP="00784524">
            <w:pPr>
              <w:jc w:val="left"/>
            </w:pPr>
            <w:r>
              <w:t>Medium (MRE)</w:t>
            </w:r>
          </w:p>
          <w:p w14:paraId="1F5CFAA6" w14:textId="77777777" w:rsidR="00627A67" w:rsidRDefault="00627A67" w:rsidP="00784524">
            <w:pPr>
              <w:jc w:val="left"/>
            </w:pPr>
            <w:r>
              <w:t>Heavy (HRE)</w:t>
            </w:r>
          </w:p>
        </w:tc>
        <w:tc>
          <w:tcPr>
            <w:tcW w:w="0" w:type="auto"/>
            <w:hideMark/>
          </w:tcPr>
          <w:p w14:paraId="4D0872BE" w14:textId="77777777" w:rsidR="00627A67" w:rsidRDefault="00627A67" w:rsidP="00784524">
            <w:pPr>
              <w:jc w:val="left"/>
            </w:pPr>
            <w:r>
              <w:rPr>
                <w:rStyle w:val="Strong"/>
                <w:rFonts w:ascii="robotocondensed-light-webfont" w:hAnsi="robotocondensed-light-webfont"/>
                <w:color w:val="6F6F6E"/>
                <w:spacing w:val="4"/>
              </w:rPr>
              <w:t>Specialty Metals:</w:t>
            </w:r>
          </w:p>
          <w:p w14:paraId="5826C4F4" w14:textId="77777777" w:rsidR="00627A67" w:rsidRDefault="00627A67" w:rsidP="00784524">
            <w:pPr>
              <w:jc w:val="left"/>
            </w:pPr>
            <w:r>
              <w:t>Scandium</w:t>
            </w:r>
          </w:p>
          <w:p w14:paraId="625EADFD" w14:textId="77777777" w:rsidR="00627A67" w:rsidRDefault="00627A67" w:rsidP="00784524">
            <w:pPr>
              <w:jc w:val="left"/>
            </w:pPr>
            <w:r>
              <w:t>Vanadium</w:t>
            </w:r>
          </w:p>
          <w:p w14:paraId="6545AB95" w14:textId="77777777" w:rsidR="00627A67" w:rsidRDefault="00627A67" w:rsidP="00784524">
            <w:pPr>
              <w:jc w:val="left"/>
            </w:pPr>
            <w:r>
              <w:t>Niobium</w:t>
            </w:r>
          </w:p>
          <w:p w14:paraId="3CD469D1" w14:textId="77777777" w:rsidR="00627A67" w:rsidRDefault="00627A67" w:rsidP="00784524">
            <w:pPr>
              <w:jc w:val="left"/>
            </w:pPr>
            <w:r>
              <w:t>Tantalum</w:t>
            </w:r>
          </w:p>
          <w:p w14:paraId="3BEC45FA" w14:textId="77777777" w:rsidR="00627A67" w:rsidRDefault="00627A67" w:rsidP="00784524">
            <w:pPr>
              <w:jc w:val="left"/>
            </w:pPr>
            <w:r>
              <w:t>Uranium</w:t>
            </w:r>
          </w:p>
          <w:p w14:paraId="7245537F" w14:textId="77777777" w:rsidR="00627A67" w:rsidRDefault="00627A67" w:rsidP="00784524">
            <w:pPr>
              <w:jc w:val="left"/>
            </w:pPr>
            <w:r>
              <w:t>Titanium</w:t>
            </w:r>
          </w:p>
        </w:tc>
      </w:tr>
    </w:tbl>
    <w:p w14:paraId="0782D24F" w14:textId="77777777" w:rsidR="00627A67" w:rsidRDefault="00627A67" w:rsidP="00784524">
      <w:pPr>
        <w:spacing w:after="0" w:line="240" w:lineRule="auto"/>
        <w:jc w:val="center"/>
        <w:rPr>
          <w:rFonts w:ascii="robotocondensed-light-webfont" w:hAnsi="robotocondensed-light-webfont"/>
          <w:color w:val="6F6F6E"/>
          <w:spacing w:val="4"/>
        </w:rPr>
      </w:pPr>
      <w:r>
        <w:rPr>
          <w:rFonts w:ascii="robotocondensed-light-webfont" w:hAnsi="robotocondensed-light-webfont"/>
          <w:noProof/>
          <w:color w:val="B31C27"/>
          <w:spacing w:val="4"/>
          <w:lang w:val="en-US"/>
        </w:rPr>
        <w:drawing>
          <wp:inline distT="0" distB="0" distL="0" distR="0" wp14:anchorId="3B1830F5" wp14:editId="2A1B01D2">
            <wp:extent cx="2857500" cy="1676400"/>
            <wp:effectExtent l="0" t="0" r="0" b="0"/>
            <wp:docPr id="1" name="Picture 1" descr="periodic_table_of_elements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iodic_table_of_elements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40CAD573" w14:textId="77777777" w:rsidR="00627A67" w:rsidRDefault="00627A67" w:rsidP="00B44E49">
      <w:pPr>
        <w:pStyle w:val="Caption"/>
      </w:pPr>
      <w:r>
        <w:t>Metals We Extract</w:t>
      </w:r>
    </w:p>
    <w:p w14:paraId="450EDBED" w14:textId="77777777" w:rsidR="00916C49" w:rsidRDefault="00916C49">
      <w:bookmarkStart w:id="0" w:name="_GoBack"/>
      <w:bookmarkEnd w:id="0"/>
    </w:p>
    <w:p w14:paraId="6617EFC8" w14:textId="582C024B" w:rsidR="00627A67" w:rsidRDefault="00627A67"/>
    <w:sectPr w:rsidR="00627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C3398" w14:textId="77777777" w:rsidR="00AC6A5B" w:rsidRDefault="00AC6A5B" w:rsidP="00724E49">
      <w:pPr>
        <w:spacing w:after="0" w:line="240" w:lineRule="auto"/>
      </w:pPr>
      <w:r>
        <w:separator/>
      </w:r>
    </w:p>
  </w:endnote>
  <w:endnote w:type="continuationSeparator" w:id="0">
    <w:p w14:paraId="205D189B" w14:textId="77777777" w:rsidR="00AC6A5B" w:rsidRDefault="00AC6A5B" w:rsidP="0072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robotocondensed-light-webfont">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6C3F" w14:textId="77777777" w:rsidR="00AC6A5B" w:rsidRDefault="00AC6A5B" w:rsidP="00724E49">
      <w:pPr>
        <w:spacing w:after="0" w:line="240" w:lineRule="auto"/>
      </w:pPr>
      <w:r>
        <w:separator/>
      </w:r>
    </w:p>
  </w:footnote>
  <w:footnote w:type="continuationSeparator" w:id="0">
    <w:p w14:paraId="2EB44968" w14:textId="77777777" w:rsidR="00AC6A5B" w:rsidRDefault="00AC6A5B" w:rsidP="00724E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10A"/>
    <w:multiLevelType w:val="hybridMultilevel"/>
    <w:tmpl w:val="0A24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B516F6"/>
    <w:multiLevelType w:val="hybridMultilevel"/>
    <w:tmpl w:val="FB28C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725D2C"/>
    <w:multiLevelType w:val="multilevel"/>
    <w:tmpl w:val="421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11C51"/>
    <w:multiLevelType w:val="multilevel"/>
    <w:tmpl w:val="0B9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74A5"/>
    <w:multiLevelType w:val="multilevel"/>
    <w:tmpl w:val="3B9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62792"/>
    <w:multiLevelType w:val="multilevel"/>
    <w:tmpl w:val="7604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065BB"/>
    <w:multiLevelType w:val="multilevel"/>
    <w:tmpl w:val="1AD4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645E6"/>
    <w:multiLevelType w:val="multilevel"/>
    <w:tmpl w:val="A91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01D9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48558D"/>
    <w:multiLevelType w:val="multilevel"/>
    <w:tmpl w:val="AE9A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E6191"/>
    <w:multiLevelType w:val="multilevel"/>
    <w:tmpl w:val="7FC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10A37"/>
    <w:multiLevelType w:val="multilevel"/>
    <w:tmpl w:val="0C6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F6DAF"/>
    <w:multiLevelType w:val="hybridMultilevel"/>
    <w:tmpl w:val="61F0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B97CA3"/>
    <w:multiLevelType w:val="multilevel"/>
    <w:tmpl w:val="9A7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26E85"/>
    <w:multiLevelType w:val="hybridMultilevel"/>
    <w:tmpl w:val="491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9176A3"/>
    <w:multiLevelType w:val="multilevel"/>
    <w:tmpl w:val="1CA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481D2B"/>
    <w:multiLevelType w:val="multilevel"/>
    <w:tmpl w:val="6C7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F7EAA"/>
    <w:multiLevelType w:val="multilevel"/>
    <w:tmpl w:val="48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B65D4D"/>
    <w:multiLevelType w:val="hybridMultilevel"/>
    <w:tmpl w:val="1E46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420ACD"/>
    <w:multiLevelType w:val="multilevel"/>
    <w:tmpl w:val="1AD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F85F3A"/>
    <w:multiLevelType w:val="multilevel"/>
    <w:tmpl w:val="F62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883825"/>
    <w:multiLevelType w:val="multilevel"/>
    <w:tmpl w:val="25A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6054B"/>
    <w:multiLevelType w:val="multilevel"/>
    <w:tmpl w:val="95A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02A14"/>
    <w:multiLevelType w:val="multilevel"/>
    <w:tmpl w:val="EEF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3"/>
  </w:num>
  <w:num w:numId="4">
    <w:abstractNumId w:val="22"/>
  </w:num>
  <w:num w:numId="5">
    <w:abstractNumId w:val="16"/>
  </w:num>
  <w:num w:numId="6">
    <w:abstractNumId w:val="15"/>
  </w:num>
  <w:num w:numId="7">
    <w:abstractNumId w:val="2"/>
  </w:num>
  <w:num w:numId="8">
    <w:abstractNumId w:val="5"/>
  </w:num>
  <w:num w:numId="9">
    <w:abstractNumId w:val="19"/>
  </w:num>
  <w:num w:numId="10">
    <w:abstractNumId w:val="4"/>
  </w:num>
  <w:num w:numId="11">
    <w:abstractNumId w:val="11"/>
  </w:num>
  <w:num w:numId="12">
    <w:abstractNumId w:val="6"/>
  </w:num>
  <w:num w:numId="13">
    <w:abstractNumId w:val="9"/>
  </w:num>
  <w:num w:numId="14">
    <w:abstractNumId w:val="3"/>
  </w:num>
  <w:num w:numId="15">
    <w:abstractNumId w:val="10"/>
  </w:num>
  <w:num w:numId="16">
    <w:abstractNumId w:val="17"/>
  </w:num>
  <w:num w:numId="17">
    <w:abstractNumId w:val="23"/>
  </w:num>
  <w:num w:numId="18">
    <w:abstractNumId w:val="20"/>
  </w:num>
  <w:num w:numId="19">
    <w:abstractNumId w:val="8"/>
  </w:num>
  <w:num w:numId="20">
    <w:abstractNumId w:val="0"/>
  </w:num>
  <w:num w:numId="21">
    <w:abstractNumId w:val="12"/>
  </w:num>
  <w:num w:numId="22">
    <w:abstractNumId w:val="18"/>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67"/>
    <w:rsid w:val="00006A6E"/>
    <w:rsid w:val="000116F5"/>
    <w:rsid w:val="00014FEA"/>
    <w:rsid w:val="000A0A8E"/>
    <w:rsid w:val="00123C5D"/>
    <w:rsid w:val="00164F21"/>
    <w:rsid w:val="002C2117"/>
    <w:rsid w:val="003326AE"/>
    <w:rsid w:val="00393875"/>
    <w:rsid w:val="004158FA"/>
    <w:rsid w:val="0042784A"/>
    <w:rsid w:val="004E4576"/>
    <w:rsid w:val="00572FAF"/>
    <w:rsid w:val="0062100D"/>
    <w:rsid w:val="00627A67"/>
    <w:rsid w:val="0064697C"/>
    <w:rsid w:val="00651FE6"/>
    <w:rsid w:val="006967A3"/>
    <w:rsid w:val="006C09C4"/>
    <w:rsid w:val="006D3EC8"/>
    <w:rsid w:val="00724E49"/>
    <w:rsid w:val="00736BE4"/>
    <w:rsid w:val="00761EC7"/>
    <w:rsid w:val="00784524"/>
    <w:rsid w:val="007B1CEE"/>
    <w:rsid w:val="007D2A74"/>
    <w:rsid w:val="008075C8"/>
    <w:rsid w:val="00851BD2"/>
    <w:rsid w:val="00853310"/>
    <w:rsid w:val="00916C49"/>
    <w:rsid w:val="009465A5"/>
    <w:rsid w:val="009F3A71"/>
    <w:rsid w:val="00A22E27"/>
    <w:rsid w:val="00AC6A5B"/>
    <w:rsid w:val="00AF2AA6"/>
    <w:rsid w:val="00B42E47"/>
    <w:rsid w:val="00B44E49"/>
    <w:rsid w:val="00BA59F4"/>
    <w:rsid w:val="00C07EC3"/>
    <w:rsid w:val="00C30731"/>
    <w:rsid w:val="00C67444"/>
    <w:rsid w:val="00CA50DC"/>
    <w:rsid w:val="00CF15BC"/>
    <w:rsid w:val="00D34DF4"/>
    <w:rsid w:val="00D74721"/>
    <w:rsid w:val="00D910C6"/>
    <w:rsid w:val="00E36BA8"/>
    <w:rsid w:val="00EA3E15"/>
    <w:rsid w:val="00EC2D26"/>
    <w:rsid w:val="00EF12AF"/>
    <w:rsid w:val="00F1384B"/>
    <w:rsid w:val="00F746F0"/>
    <w:rsid w:val="00F80629"/>
    <w:rsid w:val="00F817BE"/>
    <w:rsid w:val="00FC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2E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C8"/>
    <w:pPr>
      <w:spacing w:after="120" w:line="264" w:lineRule="auto"/>
      <w:jc w:val="both"/>
    </w:pPr>
    <w:rPr>
      <w:rFonts w:ascii="Arial" w:hAnsi="Arial"/>
    </w:rPr>
  </w:style>
  <w:style w:type="paragraph" w:styleId="Heading1">
    <w:name w:val="heading 1"/>
    <w:basedOn w:val="Normal"/>
    <w:link w:val="Heading1Char"/>
    <w:uiPriority w:val="9"/>
    <w:qFormat/>
    <w:rsid w:val="009F3A71"/>
    <w:pPr>
      <w:spacing w:before="100" w:beforeAutospacing="1" w:after="100" w:afterAutospacing="1" w:line="240" w:lineRule="auto"/>
      <w:outlineLvl w:val="0"/>
    </w:pPr>
    <w:rPr>
      <w:rFonts w:eastAsia="Times New Roman" w:cs="Times New Roman"/>
      <w:b/>
      <w:bCs/>
      <w:kern w:val="36"/>
      <w:sz w:val="40"/>
      <w:szCs w:val="48"/>
      <w:lang w:eastAsia="en-AU"/>
    </w:rPr>
  </w:style>
  <w:style w:type="paragraph" w:styleId="Heading2">
    <w:name w:val="heading 2"/>
    <w:basedOn w:val="Normal"/>
    <w:next w:val="Normal"/>
    <w:link w:val="Heading2Char"/>
    <w:uiPriority w:val="9"/>
    <w:unhideWhenUsed/>
    <w:qFormat/>
    <w:rsid w:val="009F3A71"/>
    <w:pPr>
      <w:keepNext/>
      <w:keepLines/>
      <w:spacing w:before="40" w:after="240"/>
      <w:outlineLvl w:val="1"/>
    </w:pPr>
    <w:rPr>
      <w:rFonts w:eastAsiaTheme="majorEastAsia" w:cstheme="majorBidi"/>
      <w:sz w:val="28"/>
      <w:szCs w:val="26"/>
    </w:rPr>
  </w:style>
  <w:style w:type="paragraph" w:styleId="Heading3">
    <w:name w:val="heading 3"/>
    <w:basedOn w:val="Normal"/>
    <w:link w:val="Heading3Char"/>
    <w:uiPriority w:val="9"/>
    <w:qFormat/>
    <w:rsid w:val="009F3A71"/>
    <w:pPr>
      <w:spacing w:before="100" w:beforeAutospacing="1" w:after="100" w:afterAutospacing="1" w:line="240" w:lineRule="auto"/>
      <w:outlineLvl w:val="2"/>
    </w:pPr>
    <w:rPr>
      <w:rFonts w:eastAsia="Times New Roman" w:cs="Times New Roman"/>
      <w:b/>
      <w:bCs/>
      <w:sz w:val="24"/>
      <w:szCs w:val="27"/>
      <w:lang w:eastAsia="en-AU"/>
    </w:rPr>
  </w:style>
  <w:style w:type="paragraph" w:styleId="Heading4">
    <w:name w:val="heading 4"/>
    <w:basedOn w:val="Normal"/>
    <w:next w:val="Normal"/>
    <w:link w:val="Heading4Char"/>
    <w:uiPriority w:val="9"/>
    <w:semiHidden/>
    <w:unhideWhenUsed/>
    <w:qFormat/>
    <w:rsid w:val="006D3EC8"/>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7A67"/>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3EC8"/>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3EC8"/>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3E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E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C8"/>
    <w:rPr>
      <w:rFonts w:ascii="Arial" w:eastAsia="Times New Roman" w:hAnsi="Arial" w:cs="Times New Roman"/>
      <w:b/>
      <w:bCs/>
      <w:kern w:val="36"/>
      <w:sz w:val="40"/>
      <w:szCs w:val="48"/>
      <w:lang w:eastAsia="en-AU"/>
    </w:rPr>
  </w:style>
  <w:style w:type="character" w:customStyle="1" w:styleId="Heading3Char">
    <w:name w:val="Heading 3 Char"/>
    <w:basedOn w:val="DefaultParagraphFont"/>
    <w:link w:val="Heading3"/>
    <w:uiPriority w:val="9"/>
    <w:rsid w:val="009F3A71"/>
    <w:rPr>
      <w:rFonts w:ascii="Arial" w:eastAsia="Times New Roman" w:hAnsi="Arial" w:cs="Times New Roman"/>
      <w:b/>
      <w:bCs/>
      <w:sz w:val="24"/>
      <w:szCs w:val="27"/>
      <w:lang w:eastAsia="en-AU"/>
    </w:rPr>
  </w:style>
  <w:style w:type="paragraph" w:styleId="NormalWeb">
    <w:name w:val="Normal (Web)"/>
    <w:basedOn w:val="Normal"/>
    <w:uiPriority w:val="99"/>
    <w:semiHidden/>
    <w:unhideWhenUsed/>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27A67"/>
  </w:style>
  <w:style w:type="character" w:styleId="Strong">
    <w:name w:val="Strong"/>
    <w:basedOn w:val="DefaultParagraphFont"/>
    <w:uiPriority w:val="22"/>
    <w:qFormat/>
    <w:rsid w:val="00627A67"/>
    <w:rPr>
      <w:b/>
      <w:bCs/>
    </w:rPr>
  </w:style>
  <w:style w:type="character" w:customStyle="1" w:styleId="Heading2Char">
    <w:name w:val="Heading 2 Char"/>
    <w:basedOn w:val="DefaultParagraphFont"/>
    <w:link w:val="Heading2"/>
    <w:uiPriority w:val="9"/>
    <w:rsid w:val="009F3A71"/>
    <w:rPr>
      <w:rFonts w:ascii="Arial" w:eastAsiaTheme="majorEastAsia" w:hAnsi="Arial" w:cstheme="majorBidi"/>
      <w:sz w:val="28"/>
      <w:szCs w:val="26"/>
    </w:rPr>
  </w:style>
  <w:style w:type="paragraph" w:customStyle="1" w:styleId="wp-caption-text">
    <w:name w:val="wp-caption-text"/>
    <w:basedOn w:val="Normal"/>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27A67"/>
    <w:rPr>
      <w:color w:val="0000FF"/>
      <w:u w:val="single"/>
    </w:rPr>
  </w:style>
  <w:style w:type="paragraph" w:styleId="HTMLAddress">
    <w:name w:val="HTML Address"/>
    <w:basedOn w:val="Normal"/>
    <w:link w:val="HTMLAddressChar"/>
    <w:uiPriority w:val="99"/>
    <w:semiHidden/>
    <w:unhideWhenUsed/>
    <w:rsid w:val="00627A67"/>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627A67"/>
    <w:rPr>
      <w:rFonts w:ascii="Times New Roman" w:eastAsia="Times New Roman" w:hAnsi="Times New Roman" w:cs="Times New Roman"/>
      <w:i/>
      <w:iCs/>
      <w:sz w:val="24"/>
      <w:szCs w:val="24"/>
      <w:lang w:eastAsia="en-AU"/>
    </w:rPr>
  </w:style>
  <w:style w:type="character" w:styleId="Emphasis">
    <w:name w:val="Emphasis"/>
    <w:basedOn w:val="DefaultParagraphFont"/>
    <w:uiPriority w:val="20"/>
    <w:qFormat/>
    <w:rsid w:val="00627A67"/>
    <w:rPr>
      <w:i/>
      <w:iCs/>
    </w:rPr>
  </w:style>
  <w:style w:type="character" w:customStyle="1" w:styleId="Heading5Char">
    <w:name w:val="Heading 5 Char"/>
    <w:basedOn w:val="DefaultParagraphFont"/>
    <w:link w:val="Heading5"/>
    <w:uiPriority w:val="9"/>
    <w:semiHidden/>
    <w:rsid w:val="00627A67"/>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D3EC8"/>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6D3EC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3EC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3E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3EC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9F3A71"/>
    <w:pPr>
      <w:ind w:left="720"/>
      <w:contextualSpacing/>
    </w:pPr>
  </w:style>
  <w:style w:type="paragraph" w:styleId="Title">
    <w:name w:val="Title"/>
    <w:basedOn w:val="Normal"/>
    <w:next w:val="Normal"/>
    <w:link w:val="TitleChar"/>
    <w:uiPriority w:val="10"/>
    <w:qFormat/>
    <w:rsid w:val="00784524"/>
    <w:pPr>
      <w:spacing w:after="36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4524"/>
    <w:rPr>
      <w:rFonts w:ascii="Arial" w:eastAsiaTheme="majorEastAsia" w:hAnsi="Arial" w:cstheme="majorBidi"/>
      <w:spacing w:val="-10"/>
      <w:kern w:val="28"/>
      <w:sz w:val="56"/>
      <w:szCs w:val="56"/>
    </w:rPr>
  </w:style>
  <w:style w:type="paragraph" w:styleId="Caption">
    <w:name w:val="caption"/>
    <w:basedOn w:val="Normal"/>
    <w:next w:val="Normal"/>
    <w:uiPriority w:val="99"/>
    <w:qFormat/>
    <w:rsid w:val="00123C5D"/>
    <w:pPr>
      <w:spacing w:before="120" w:after="60"/>
      <w:jc w:val="center"/>
    </w:pPr>
    <w:rPr>
      <w:rFonts w:eastAsia="Calibri" w:cs="Times New Roman"/>
      <w:b/>
      <w:bCs/>
      <w:i/>
      <w:sz w:val="20"/>
      <w:szCs w:val="20"/>
    </w:rPr>
  </w:style>
  <w:style w:type="paragraph" w:styleId="FootnoteText">
    <w:name w:val="footnote text"/>
    <w:basedOn w:val="Normal"/>
    <w:link w:val="FootnoteTextChar"/>
    <w:uiPriority w:val="99"/>
    <w:semiHidden/>
    <w:rsid w:val="00724E49"/>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24E49"/>
    <w:rPr>
      <w:rFonts w:ascii="Calibri" w:eastAsia="Calibri" w:hAnsi="Calibri" w:cs="Times New Roman"/>
      <w:sz w:val="20"/>
      <w:szCs w:val="20"/>
      <w:lang w:val="en-US"/>
    </w:rPr>
  </w:style>
  <w:style w:type="character" w:styleId="FootnoteReference">
    <w:name w:val="footnote reference"/>
    <w:uiPriority w:val="99"/>
    <w:semiHidden/>
    <w:rsid w:val="00724E49"/>
    <w:rPr>
      <w:rFonts w:cs="Times New Roman"/>
      <w:vertAlign w:val="superscript"/>
    </w:rPr>
  </w:style>
  <w:style w:type="table" w:customStyle="1" w:styleId="GridTable4-Accent31">
    <w:name w:val="Grid Table 4 - Accent 31"/>
    <w:basedOn w:val="TableNormal"/>
    <w:uiPriority w:val="49"/>
    <w:rsid w:val="00123C5D"/>
    <w:pPr>
      <w:spacing w:after="0" w:line="240" w:lineRule="auto"/>
    </w:pPr>
    <w:rPr>
      <w:rFonts w:ascii="Calibri" w:eastAsia="Calibri" w:hAnsi="Calibri" w:cs="Times New Roman"/>
      <w:sz w:val="20"/>
      <w:szCs w:val="20"/>
      <w:lang w:eastAsia="en-AU"/>
    </w:rPr>
    <w:tblPr>
      <w:tblStyleRowBandSize w:val="1"/>
      <w:tblStyleColBandSize w:val="1"/>
      <w:jc w:val="cente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rPr>
      <w:jc w:val="center"/>
    </w:tr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X">
    <w:name w:val="TableX"/>
    <w:basedOn w:val="Normal"/>
    <w:link w:val="TableXChar"/>
    <w:qFormat/>
    <w:rsid w:val="00123C5D"/>
    <w:pPr>
      <w:spacing w:before="60" w:after="60" w:line="240" w:lineRule="auto"/>
      <w:jc w:val="center"/>
    </w:pPr>
    <w:rPr>
      <w:rFonts w:eastAsia="PMingLiU" w:cstheme="minorHAnsi"/>
      <w:sz w:val="16"/>
      <w:szCs w:val="18"/>
      <w:lang w:eastAsia="en-AU" w:bidi="en-US"/>
    </w:rPr>
  </w:style>
  <w:style w:type="character" w:customStyle="1" w:styleId="TableXChar">
    <w:name w:val="TableX Char"/>
    <w:basedOn w:val="DefaultParagraphFont"/>
    <w:link w:val="TableX"/>
    <w:rsid w:val="00123C5D"/>
    <w:rPr>
      <w:rFonts w:ascii="Arial" w:eastAsia="PMingLiU" w:hAnsi="Arial" w:cstheme="minorHAnsi"/>
      <w:sz w:val="16"/>
      <w:szCs w:val="18"/>
      <w:lang w:eastAsia="en-AU" w:bidi="en-US"/>
    </w:rPr>
  </w:style>
  <w:style w:type="character" w:customStyle="1" w:styleId="ListParagraphChar">
    <w:name w:val="List Paragraph Char"/>
    <w:link w:val="ListParagraph"/>
    <w:uiPriority w:val="34"/>
    <w:rsid w:val="00D910C6"/>
    <w:rPr>
      <w:rFonts w:ascii="Arial" w:hAnsi="Arial"/>
    </w:rPr>
  </w:style>
  <w:style w:type="paragraph" w:styleId="BalloonText">
    <w:name w:val="Balloon Text"/>
    <w:basedOn w:val="Normal"/>
    <w:link w:val="BalloonTextChar"/>
    <w:uiPriority w:val="99"/>
    <w:semiHidden/>
    <w:unhideWhenUsed/>
    <w:rsid w:val="00EC2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68394">
      <w:bodyDiv w:val="1"/>
      <w:marLeft w:val="0"/>
      <w:marRight w:val="0"/>
      <w:marTop w:val="0"/>
      <w:marBottom w:val="0"/>
      <w:divBdr>
        <w:top w:val="none" w:sz="0" w:space="0" w:color="auto"/>
        <w:left w:val="none" w:sz="0" w:space="0" w:color="auto"/>
        <w:bottom w:val="none" w:sz="0" w:space="0" w:color="auto"/>
        <w:right w:val="none" w:sz="0" w:space="0" w:color="auto"/>
      </w:divBdr>
      <w:divsChild>
        <w:div w:id="1246957149">
          <w:marLeft w:val="0"/>
          <w:marRight w:val="0"/>
          <w:marTop w:val="0"/>
          <w:marBottom w:val="0"/>
          <w:divBdr>
            <w:top w:val="none" w:sz="0" w:space="0" w:color="auto"/>
            <w:left w:val="none" w:sz="0" w:space="0" w:color="auto"/>
            <w:bottom w:val="none" w:sz="0" w:space="0" w:color="auto"/>
            <w:right w:val="none" w:sz="0" w:space="0" w:color="auto"/>
          </w:divBdr>
        </w:div>
      </w:divsChild>
    </w:div>
    <w:div w:id="1107575425">
      <w:bodyDiv w:val="1"/>
      <w:marLeft w:val="0"/>
      <w:marRight w:val="0"/>
      <w:marTop w:val="0"/>
      <w:marBottom w:val="0"/>
      <w:divBdr>
        <w:top w:val="none" w:sz="0" w:space="0" w:color="auto"/>
        <w:left w:val="none" w:sz="0" w:space="0" w:color="auto"/>
        <w:bottom w:val="none" w:sz="0" w:space="0" w:color="auto"/>
        <w:right w:val="none" w:sz="0" w:space="0" w:color="auto"/>
      </w:divBdr>
    </w:div>
    <w:div w:id="1977444458">
      <w:bodyDiv w:val="1"/>
      <w:marLeft w:val="0"/>
      <w:marRight w:val="0"/>
      <w:marTop w:val="0"/>
      <w:marBottom w:val="0"/>
      <w:divBdr>
        <w:top w:val="none" w:sz="0" w:space="0" w:color="auto"/>
        <w:left w:val="none" w:sz="0" w:space="0" w:color="auto"/>
        <w:bottom w:val="none" w:sz="0" w:space="0" w:color="auto"/>
        <w:right w:val="none" w:sz="0" w:space="0" w:color="auto"/>
      </w:divBdr>
      <w:divsChild>
        <w:div w:id="1064640606">
          <w:marLeft w:val="0"/>
          <w:marRight w:val="0"/>
          <w:marTop w:val="0"/>
          <w:marBottom w:val="0"/>
          <w:divBdr>
            <w:top w:val="none" w:sz="0" w:space="0" w:color="auto"/>
            <w:left w:val="none" w:sz="0" w:space="0" w:color="auto"/>
            <w:bottom w:val="none" w:sz="0" w:space="0" w:color="auto"/>
            <w:right w:val="none" w:sz="0" w:space="0" w:color="auto"/>
          </w:divBdr>
        </w:div>
        <w:div w:id="913467625">
          <w:marLeft w:val="0"/>
          <w:marRight w:val="0"/>
          <w:marTop w:val="0"/>
          <w:marBottom w:val="0"/>
          <w:divBdr>
            <w:top w:val="none" w:sz="0" w:space="0" w:color="auto"/>
            <w:left w:val="none" w:sz="0" w:space="0" w:color="auto"/>
            <w:bottom w:val="none" w:sz="0" w:space="0" w:color="auto"/>
            <w:right w:val="none" w:sz="0" w:space="0" w:color="auto"/>
          </w:divBdr>
        </w:div>
        <w:div w:id="1715275656">
          <w:marLeft w:val="0"/>
          <w:marRight w:val="0"/>
          <w:marTop w:val="0"/>
          <w:marBottom w:val="0"/>
          <w:divBdr>
            <w:top w:val="none" w:sz="0" w:space="0" w:color="auto"/>
            <w:left w:val="none" w:sz="0" w:space="0" w:color="auto"/>
            <w:bottom w:val="none" w:sz="0" w:space="0" w:color="auto"/>
            <w:right w:val="none" w:sz="0" w:space="0" w:color="auto"/>
          </w:divBdr>
        </w:div>
        <w:div w:id="1748308974">
          <w:marLeft w:val="0"/>
          <w:marRight w:val="0"/>
          <w:marTop w:val="0"/>
          <w:marBottom w:val="0"/>
          <w:divBdr>
            <w:top w:val="none" w:sz="0" w:space="0" w:color="auto"/>
            <w:left w:val="none" w:sz="0" w:space="0" w:color="auto"/>
            <w:bottom w:val="none" w:sz="0" w:space="0" w:color="auto"/>
            <w:right w:val="none" w:sz="0" w:space="0" w:color="auto"/>
          </w:divBdr>
        </w:div>
        <w:div w:id="143010196">
          <w:marLeft w:val="0"/>
          <w:marRight w:val="0"/>
          <w:marTop w:val="0"/>
          <w:marBottom w:val="0"/>
          <w:divBdr>
            <w:top w:val="none" w:sz="0" w:space="0" w:color="auto"/>
            <w:left w:val="none" w:sz="0" w:space="0" w:color="auto"/>
            <w:bottom w:val="none" w:sz="0" w:space="0" w:color="auto"/>
            <w:right w:val="none" w:sz="0" w:space="0" w:color="auto"/>
          </w:divBdr>
        </w:div>
        <w:div w:id="645359944">
          <w:marLeft w:val="0"/>
          <w:marRight w:val="0"/>
          <w:marTop w:val="0"/>
          <w:marBottom w:val="0"/>
          <w:divBdr>
            <w:top w:val="none" w:sz="0" w:space="0" w:color="auto"/>
            <w:left w:val="none" w:sz="0" w:space="0" w:color="auto"/>
            <w:bottom w:val="none" w:sz="0" w:space="0" w:color="auto"/>
            <w:right w:val="none" w:sz="0" w:space="0" w:color="auto"/>
          </w:divBdr>
        </w:div>
        <w:div w:id="1653097444">
          <w:marLeft w:val="0"/>
          <w:marRight w:val="0"/>
          <w:marTop w:val="0"/>
          <w:marBottom w:val="0"/>
          <w:divBdr>
            <w:top w:val="none" w:sz="0" w:space="0" w:color="auto"/>
            <w:left w:val="none" w:sz="0" w:space="0" w:color="auto"/>
            <w:bottom w:val="none" w:sz="0" w:space="0" w:color="auto"/>
            <w:right w:val="none" w:sz="0" w:space="0" w:color="auto"/>
          </w:divBdr>
        </w:div>
        <w:div w:id="1151092384">
          <w:marLeft w:val="0"/>
          <w:marRight w:val="0"/>
          <w:marTop w:val="0"/>
          <w:marBottom w:val="0"/>
          <w:divBdr>
            <w:top w:val="none" w:sz="0" w:space="0" w:color="auto"/>
            <w:left w:val="none" w:sz="0" w:space="0" w:color="auto"/>
            <w:bottom w:val="none" w:sz="0" w:space="0" w:color="auto"/>
            <w:right w:val="none" w:sz="0" w:space="0" w:color="auto"/>
          </w:divBdr>
        </w:div>
      </w:divsChild>
    </w:div>
    <w:div w:id="2142846403">
      <w:bodyDiv w:val="1"/>
      <w:marLeft w:val="0"/>
      <w:marRight w:val="0"/>
      <w:marTop w:val="0"/>
      <w:marBottom w:val="0"/>
      <w:divBdr>
        <w:top w:val="none" w:sz="0" w:space="0" w:color="auto"/>
        <w:left w:val="none" w:sz="0" w:space="0" w:color="auto"/>
        <w:bottom w:val="none" w:sz="0" w:space="0" w:color="auto"/>
        <w:right w:val="none" w:sz="0" w:space="0" w:color="auto"/>
      </w:divBdr>
      <w:divsChild>
        <w:div w:id="24858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cleanteq.com/wp-content/uploads/2014/08/periodic_table_of_elements1.b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dc:creator>
  <cp:lastModifiedBy>Patricia Rojas</cp:lastModifiedBy>
  <cp:revision>3</cp:revision>
  <cp:lastPrinted>2016-12-21T01:11:00Z</cp:lastPrinted>
  <dcterms:created xsi:type="dcterms:W3CDTF">2016-12-21T01:23:00Z</dcterms:created>
  <dcterms:modified xsi:type="dcterms:W3CDTF">2016-12-21T01:27:00Z</dcterms:modified>
</cp:coreProperties>
</file>