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38257" w14:textId="77777777" w:rsidR="00393875" w:rsidRPr="00D02063" w:rsidRDefault="00851BD2" w:rsidP="006C09C4">
      <w:pPr>
        <w:pStyle w:val="Heading2"/>
        <w:rPr>
          <w:b/>
          <w:sz w:val="36"/>
          <w:szCs w:val="36"/>
        </w:rPr>
      </w:pPr>
      <w:bookmarkStart w:id="0" w:name="_GoBack"/>
      <w:r w:rsidRPr="00D02063">
        <w:rPr>
          <w:b/>
          <w:sz w:val="36"/>
          <w:szCs w:val="36"/>
        </w:rPr>
        <w:t xml:space="preserve">Syerston Project </w:t>
      </w:r>
      <w:r w:rsidR="00393875" w:rsidRPr="00D02063">
        <w:rPr>
          <w:b/>
          <w:sz w:val="36"/>
          <w:szCs w:val="36"/>
        </w:rPr>
        <w:t>Pre-Feasibility Study</w:t>
      </w:r>
    </w:p>
    <w:bookmarkEnd w:id="0"/>
    <w:p w14:paraId="0EEC2D42" w14:textId="77777777" w:rsidR="00123C5D" w:rsidRPr="00123C5D" w:rsidRDefault="00393875" w:rsidP="00123C5D">
      <w:r w:rsidRPr="00123C5D">
        <w:t xml:space="preserve">A Pre-Feasibility Study </w:t>
      </w:r>
      <w:r w:rsidR="00123C5D">
        <w:t>(</w:t>
      </w:r>
      <w:r w:rsidR="00123C5D" w:rsidRPr="00EA3E15">
        <w:rPr>
          <w:b/>
        </w:rPr>
        <w:t>PFS</w:t>
      </w:r>
      <w:r w:rsidR="00123C5D">
        <w:t xml:space="preserve">) </w:t>
      </w:r>
      <w:r w:rsidRPr="00123C5D">
        <w:t xml:space="preserve">was completed in October 2016 </w:t>
      </w:r>
      <w:r w:rsidR="00EA3E15">
        <w:t>to assess a large scale project to produce nickel and cobalt sulphate and by-product scandium.</w:t>
      </w:r>
      <w:r w:rsidRPr="00123C5D">
        <w:t xml:space="preserve"> The </w:t>
      </w:r>
      <w:r w:rsidR="00EA3E15">
        <w:t>PFS</w:t>
      </w:r>
      <w:r w:rsidRPr="00123C5D">
        <w:t xml:space="preserve"> was based on a flow sheet processing 2.5Mtpa of feed in Syerston’s near-surface resource.  The processing plant consists of a high pressure acid leach (HPAL) circuit followed by Clean TeQ’s Resin-In-Pulp (</w:t>
      </w:r>
      <w:r w:rsidR="00123C5D" w:rsidRPr="00123C5D">
        <w:t>cRIP) f</w:t>
      </w:r>
      <w:r w:rsidRPr="00123C5D">
        <w:t>or scandium recovery, fo</w:t>
      </w:r>
      <w:r w:rsidR="00123C5D" w:rsidRPr="00123C5D">
        <w:t xml:space="preserve">llowed by partial neutralisation and cRIP for nickel and cobalt recovery.  </w:t>
      </w:r>
    </w:p>
    <w:p w14:paraId="1590F4CD" w14:textId="77777777" w:rsidR="00123C5D" w:rsidRDefault="00123C5D" w:rsidP="00123C5D">
      <w:r w:rsidRPr="00123C5D">
        <w:t xml:space="preserve">The nickel/cobalt-rich sulphate solution is </w:t>
      </w:r>
      <w:r w:rsidR="00B44E49">
        <w:t>processed</w:t>
      </w:r>
      <w:r w:rsidRPr="00123C5D">
        <w:t xml:space="preserve"> through a small solvent extraction separation and purification step prior to crystallisation to produce separate hydrated nickel sulphate (NiSO</w:t>
      </w:r>
      <w:r w:rsidRPr="00123C5D">
        <w:rPr>
          <w:vertAlign w:val="subscript"/>
        </w:rPr>
        <w:t>4</w:t>
      </w:r>
      <w:r w:rsidRPr="00123C5D">
        <w:t>.6H</w:t>
      </w:r>
      <w:r w:rsidRPr="00123C5D">
        <w:rPr>
          <w:vertAlign w:val="subscript"/>
        </w:rPr>
        <w:t>2</w:t>
      </w:r>
      <w:r w:rsidRPr="00123C5D">
        <w:t>O) and hydrated cobalt sulphate (CoSO</w:t>
      </w:r>
      <w:r w:rsidRPr="00123C5D">
        <w:rPr>
          <w:vertAlign w:val="subscript"/>
        </w:rPr>
        <w:t>4</w:t>
      </w:r>
      <w:r w:rsidRPr="00123C5D">
        <w:t>.7H</w:t>
      </w:r>
      <w:r w:rsidRPr="00123C5D">
        <w:rPr>
          <w:vertAlign w:val="subscript"/>
        </w:rPr>
        <w:t>2</w:t>
      </w:r>
      <w:r w:rsidRPr="00123C5D">
        <w:t xml:space="preserve">O) products. </w:t>
      </w:r>
    </w:p>
    <w:p w14:paraId="750C1C4F" w14:textId="77777777" w:rsidR="00F817BE" w:rsidRPr="00123C5D" w:rsidRDefault="00F817BE" w:rsidP="00123C5D">
      <w:r>
        <w:t xml:space="preserve">The scandium-rich solution is </w:t>
      </w:r>
      <w:r w:rsidR="00B44E49">
        <w:t>processed</w:t>
      </w:r>
      <w:r>
        <w:t xml:space="preserve"> through a series of selective precipitation </w:t>
      </w:r>
      <w:r w:rsidR="00B44E49">
        <w:t>stages</w:t>
      </w:r>
      <w:r>
        <w:t xml:space="preserve"> and </w:t>
      </w:r>
      <w:r w:rsidR="00B44E49">
        <w:t xml:space="preserve">a final </w:t>
      </w:r>
      <w:r>
        <w:t>calcination to produce high-purity scandium oxide (Sc</w:t>
      </w:r>
      <w:r w:rsidRPr="00F817BE">
        <w:rPr>
          <w:vertAlign w:val="subscript"/>
        </w:rPr>
        <w:t>2</w:t>
      </w:r>
      <w:r>
        <w:t>O</w:t>
      </w:r>
      <w:r w:rsidRPr="00F817BE">
        <w:rPr>
          <w:vertAlign w:val="subscript"/>
        </w:rPr>
        <w:t>3</w:t>
      </w:r>
      <w:r>
        <w:t>).</w:t>
      </w:r>
    </w:p>
    <w:p w14:paraId="6CA6F99C" w14:textId="77777777" w:rsidR="00393875" w:rsidRPr="00123C5D" w:rsidRDefault="00123C5D" w:rsidP="00123C5D">
      <w:r w:rsidRPr="00123C5D">
        <w:t xml:space="preserve">The slurry is neutralised by the addition of limestone and sent to a tailings storage facility.  The Project mining licence applications incorporate an area </w:t>
      </w:r>
      <w:r w:rsidR="00B44E49">
        <w:t>close</w:t>
      </w:r>
      <w:r w:rsidRPr="00123C5D">
        <w:t xml:space="preserve"> to the Syerston deposit which contains a substantial limestone deposit, this is proposed to be developed as part of the Project.  The relatively dry climate of the region means that it is amenable to residue disposal to conventional tailings storage facilities and evaporation ponds.  </w:t>
      </w:r>
    </w:p>
    <w:p w14:paraId="5CC2B9B3" w14:textId="77777777" w:rsidR="00123C5D" w:rsidRDefault="00123C5D" w:rsidP="00393875">
      <w:pPr>
        <w:rPr>
          <w:rFonts w:ascii="robotocondensed-light-webfont" w:hAnsi="robotocondensed-light-webfont"/>
          <w:color w:val="6F6F6E"/>
          <w:spacing w:val="4"/>
        </w:rPr>
      </w:pPr>
    </w:p>
    <w:p w14:paraId="355AF4C0" w14:textId="77777777" w:rsidR="00393875" w:rsidRDefault="00393875" w:rsidP="00393875">
      <w:pPr>
        <w:rPr>
          <w:rFonts w:ascii="robotocondensed-light-webfont" w:hAnsi="robotocondensed-light-webfont"/>
          <w:color w:val="6F6F6E"/>
          <w:spacing w:val="4"/>
        </w:rPr>
      </w:pPr>
      <w:r>
        <w:rPr>
          <w:noProof/>
          <w:lang w:val="en-US"/>
        </w:rPr>
        <w:drawing>
          <wp:inline distT="0" distB="0" distL="0" distR="0" wp14:anchorId="782A0587" wp14:editId="7F23098B">
            <wp:extent cx="5731510" cy="3134953"/>
            <wp:effectExtent l="19050" t="19050" r="2159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909" t="21182" r="8651" b="31502"/>
                    <a:stretch/>
                  </pic:blipFill>
                  <pic:spPr bwMode="auto">
                    <a:xfrm>
                      <a:off x="0" y="0"/>
                      <a:ext cx="5731510" cy="31349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6C32BA" w14:textId="77777777" w:rsidR="00393875" w:rsidRDefault="00123C5D" w:rsidP="00123C5D">
      <w:pPr>
        <w:pStyle w:val="Caption"/>
      </w:pPr>
      <w:r>
        <w:t xml:space="preserve">PFS </w:t>
      </w:r>
      <w:r w:rsidR="00393875">
        <w:t>Flowsheet</w:t>
      </w:r>
    </w:p>
    <w:p w14:paraId="3AE306A0" w14:textId="77777777" w:rsidR="00123C5D" w:rsidRDefault="00123C5D" w:rsidP="00123C5D">
      <w:pPr>
        <w:rPr>
          <w:lang w:val="en"/>
        </w:rPr>
      </w:pPr>
      <w:r>
        <w:rPr>
          <w:lang w:val="en"/>
        </w:rPr>
        <w:t xml:space="preserve">The PFS </w:t>
      </w:r>
      <w:r w:rsidRPr="00621676">
        <w:rPr>
          <w:lang w:val="en"/>
        </w:rPr>
        <w:t>assesse</w:t>
      </w:r>
      <w:r>
        <w:rPr>
          <w:lang w:val="en"/>
        </w:rPr>
        <w:t>d the economics of a mine with a designed throughput capacity of 2.5Mtpa of ore feed from Syerston’s near-surface resource,</w:t>
      </w:r>
      <w:r w:rsidRPr="004E38C3">
        <w:rPr>
          <w:lang w:val="en"/>
        </w:rPr>
        <w:t xml:space="preserve"> </w:t>
      </w:r>
      <w:r>
        <w:rPr>
          <w:lang w:val="en"/>
        </w:rPr>
        <w:t xml:space="preserve">over an initial 20-year mine life.  </w:t>
      </w:r>
    </w:p>
    <w:p w14:paraId="3282081C" w14:textId="77777777" w:rsidR="00123C5D" w:rsidRDefault="00123C5D" w:rsidP="00123C5D">
      <w:r>
        <w:t xml:space="preserve">The following table provides a summary of the key parameters used in the evaluation of the Project.  </w:t>
      </w:r>
      <w:r w:rsidRPr="008A6F0E">
        <w:t xml:space="preserve">All dollar figures </w:t>
      </w:r>
      <w:r>
        <w:t xml:space="preserve">quoted herein </w:t>
      </w:r>
      <w:r w:rsidRPr="008A6F0E">
        <w:t>are A</w:t>
      </w:r>
      <w:r>
        <w:t>$</w:t>
      </w:r>
      <w:r w:rsidRPr="008A6F0E">
        <w:t xml:space="preserve"> unless otherwise indicate</w:t>
      </w:r>
      <w:r>
        <w:t>d</w:t>
      </w:r>
      <w:r w:rsidRPr="008A6F0E">
        <w:t xml:space="preserve"> and are exclusive of GST</w:t>
      </w:r>
      <w:r>
        <w:t>:</w:t>
      </w:r>
    </w:p>
    <w:p w14:paraId="417DE7CC" w14:textId="77777777" w:rsidR="00123C5D" w:rsidRDefault="00123C5D" w:rsidP="00123C5D"/>
    <w:p w14:paraId="16325DD8" w14:textId="77777777" w:rsidR="00123C5D" w:rsidRPr="00123C5D" w:rsidRDefault="00123C5D" w:rsidP="00123C5D">
      <w:pPr>
        <w:pStyle w:val="Caption"/>
        <w:rPr>
          <w:rFonts w:cs="Arial"/>
        </w:rPr>
      </w:pPr>
      <w:r w:rsidRPr="00123C5D">
        <w:rPr>
          <w:rFonts w:cs="Arial"/>
        </w:rPr>
        <w:t>Syerston Project Summary Table – Base Case</w:t>
      </w:r>
    </w:p>
    <w:tbl>
      <w:tblPr>
        <w:tblStyle w:val="GridTable4-Accent31"/>
        <w:tblW w:w="0" w:type="auto"/>
        <w:tblLook w:val="04A0" w:firstRow="1" w:lastRow="0" w:firstColumn="1" w:lastColumn="0" w:noHBand="0" w:noVBand="1"/>
      </w:tblPr>
      <w:tblGrid>
        <w:gridCol w:w="3457"/>
        <w:gridCol w:w="695"/>
        <w:gridCol w:w="1140"/>
        <w:gridCol w:w="3950"/>
      </w:tblGrid>
      <w:tr w:rsidR="00123C5D" w:rsidRPr="00123C5D" w14:paraId="56CC9900" w14:textId="77777777" w:rsidTr="004E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6" w:type="dxa"/>
            <w:gridSpan w:val="3"/>
          </w:tcPr>
          <w:p w14:paraId="2546EE0E" w14:textId="77777777" w:rsidR="00123C5D" w:rsidRPr="00123C5D" w:rsidRDefault="00123C5D" w:rsidP="004E4576">
            <w:pPr>
              <w:pStyle w:val="TableX"/>
              <w:rPr>
                <w:rFonts w:cs="Arial"/>
                <w:sz w:val="20"/>
                <w:szCs w:val="22"/>
              </w:rPr>
            </w:pPr>
            <w:r w:rsidRPr="00123C5D">
              <w:rPr>
                <w:rFonts w:cs="Arial"/>
                <w:sz w:val="20"/>
                <w:szCs w:val="22"/>
              </w:rPr>
              <w:lastRenderedPageBreak/>
              <w:t>Parameter</w:t>
            </w:r>
          </w:p>
        </w:tc>
        <w:tc>
          <w:tcPr>
            <w:tcW w:w="4039" w:type="dxa"/>
          </w:tcPr>
          <w:p w14:paraId="2D27469C" w14:textId="77777777" w:rsidR="00123C5D" w:rsidRPr="00123C5D" w:rsidRDefault="00123C5D" w:rsidP="004E4576">
            <w:pPr>
              <w:pStyle w:val="TableX"/>
              <w:cnfStyle w:val="100000000000" w:firstRow="1" w:lastRow="0" w:firstColumn="0" w:lastColumn="0" w:oddVBand="0" w:evenVBand="0" w:oddHBand="0" w:evenHBand="0" w:firstRowFirstColumn="0" w:firstRowLastColumn="0" w:lastRowFirstColumn="0" w:lastRowLastColumn="0"/>
              <w:rPr>
                <w:rFonts w:cs="Arial"/>
                <w:sz w:val="20"/>
                <w:szCs w:val="22"/>
              </w:rPr>
            </w:pPr>
            <w:r w:rsidRPr="00123C5D">
              <w:rPr>
                <w:rFonts w:cs="Arial"/>
                <w:sz w:val="20"/>
                <w:szCs w:val="22"/>
              </w:rPr>
              <w:t>Assumption / Output</w:t>
            </w:r>
          </w:p>
        </w:tc>
      </w:tr>
      <w:tr w:rsidR="00123C5D" w:rsidRPr="00123C5D" w14:paraId="49170430" w14:textId="77777777" w:rsidTr="004E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6" w:type="dxa"/>
            <w:gridSpan w:val="3"/>
            <w:tcBorders>
              <w:bottom w:val="single" w:sz="4" w:space="0" w:color="C9C9C9" w:themeColor="accent3" w:themeTint="99"/>
            </w:tcBorders>
          </w:tcPr>
          <w:p w14:paraId="02167609" w14:textId="77777777" w:rsidR="00123C5D" w:rsidRPr="00123C5D" w:rsidRDefault="00123C5D" w:rsidP="004E4576">
            <w:pPr>
              <w:pStyle w:val="TableX"/>
              <w:jc w:val="left"/>
              <w:rPr>
                <w:rFonts w:cs="Arial"/>
                <w:b w:val="0"/>
                <w:sz w:val="20"/>
                <w:szCs w:val="22"/>
              </w:rPr>
            </w:pPr>
            <w:r w:rsidRPr="00123C5D">
              <w:rPr>
                <w:rFonts w:cs="Arial"/>
                <w:b w:val="0"/>
                <w:sz w:val="20"/>
                <w:szCs w:val="22"/>
              </w:rPr>
              <w:t>Processing Plant Throughput</w:t>
            </w:r>
          </w:p>
        </w:tc>
        <w:tc>
          <w:tcPr>
            <w:tcW w:w="4039" w:type="dxa"/>
          </w:tcPr>
          <w:p w14:paraId="32BAF35D" w14:textId="77777777" w:rsidR="00123C5D" w:rsidRPr="00123C5D" w:rsidRDefault="00123C5D" w:rsidP="004E4576">
            <w:pPr>
              <w:pStyle w:val="TableX"/>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b/>
                <w:sz w:val="20"/>
                <w:szCs w:val="22"/>
              </w:rPr>
              <w:t xml:space="preserve">2.5Mtpa </w:t>
            </w:r>
            <w:r w:rsidRPr="00123C5D">
              <w:rPr>
                <w:rFonts w:cs="Arial"/>
                <w:b/>
                <w:sz w:val="20"/>
                <w:szCs w:val="22"/>
                <w:vertAlign w:val="superscript"/>
              </w:rPr>
              <w:t>1</w:t>
            </w:r>
          </w:p>
        </w:tc>
      </w:tr>
      <w:tr w:rsidR="00123C5D" w:rsidRPr="00123C5D" w14:paraId="17728981" w14:textId="77777777" w:rsidTr="004E4576">
        <w:tc>
          <w:tcPr>
            <w:cnfStyle w:val="001000000000" w:firstRow="0" w:lastRow="0" w:firstColumn="1" w:lastColumn="0" w:oddVBand="0" w:evenVBand="0" w:oddHBand="0" w:evenHBand="0" w:firstRowFirstColumn="0" w:firstRowLastColumn="0" w:lastRowFirstColumn="0" w:lastRowLastColumn="0"/>
            <w:tcW w:w="5396" w:type="dxa"/>
            <w:gridSpan w:val="3"/>
          </w:tcPr>
          <w:p w14:paraId="13088845" w14:textId="77777777" w:rsidR="00123C5D" w:rsidRPr="00123C5D" w:rsidRDefault="00123C5D" w:rsidP="004E4576">
            <w:pPr>
              <w:pStyle w:val="TableX"/>
              <w:jc w:val="left"/>
              <w:rPr>
                <w:rFonts w:cs="Arial"/>
                <w:b w:val="0"/>
                <w:sz w:val="20"/>
                <w:szCs w:val="22"/>
              </w:rPr>
            </w:pPr>
            <w:r w:rsidRPr="00123C5D">
              <w:rPr>
                <w:rFonts w:cs="Arial"/>
                <w:b w:val="0"/>
                <w:sz w:val="20"/>
                <w:szCs w:val="22"/>
              </w:rPr>
              <w:t>Initial Life of Mine</w:t>
            </w:r>
          </w:p>
        </w:tc>
        <w:tc>
          <w:tcPr>
            <w:tcW w:w="4039" w:type="dxa"/>
          </w:tcPr>
          <w:p w14:paraId="496088F2" w14:textId="77777777" w:rsidR="00123C5D" w:rsidRPr="00123C5D" w:rsidRDefault="00123C5D" w:rsidP="004E4576">
            <w:pPr>
              <w:pStyle w:val="TableX"/>
              <w:cnfStyle w:val="000000000000" w:firstRow="0" w:lastRow="0" w:firstColumn="0" w:lastColumn="0" w:oddVBand="0" w:evenVBand="0" w:oddHBand="0" w:evenHBand="0" w:firstRowFirstColumn="0" w:firstRowLastColumn="0" w:lastRowFirstColumn="0" w:lastRowLastColumn="0"/>
              <w:rPr>
                <w:rFonts w:cs="Arial"/>
                <w:b/>
                <w:sz w:val="20"/>
                <w:szCs w:val="22"/>
              </w:rPr>
            </w:pPr>
            <w:r w:rsidRPr="00123C5D">
              <w:rPr>
                <w:rFonts w:cs="Arial"/>
                <w:b/>
                <w:sz w:val="20"/>
                <w:szCs w:val="22"/>
              </w:rPr>
              <w:t>20 years</w:t>
            </w:r>
          </w:p>
        </w:tc>
      </w:tr>
      <w:tr w:rsidR="00123C5D" w:rsidRPr="00123C5D" w14:paraId="54AE38B7" w14:textId="77777777" w:rsidTr="004E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gridSpan w:val="2"/>
            <w:tcBorders>
              <w:right w:val="nil"/>
            </w:tcBorders>
          </w:tcPr>
          <w:p w14:paraId="2011C852" w14:textId="77777777" w:rsidR="00123C5D" w:rsidRPr="00123C5D" w:rsidRDefault="00123C5D" w:rsidP="004E4576">
            <w:pPr>
              <w:pStyle w:val="TableX"/>
              <w:jc w:val="left"/>
              <w:rPr>
                <w:rFonts w:cs="Arial"/>
                <w:bCs w:val="0"/>
                <w:i/>
                <w:sz w:val="20"/>
                <w:szCs w:val="22"/>
              </w:rPr>
            </w:pPr>
            <w:r w:rsidRPr="00123C5D">
              <w:rPr>
                <w:rFonts w:cs="Arial"/>
                <w:b w:val="0"/>
                <w:sz w:val="20"/>
                <w:szCs w:val="22"/>
              </w:rPr>
              <w:t xml:space="preserve">Autoclave Feed Grade </w:t>
            </w:r>
            <w:r w:rsidRPr="00123C5D">
              <w:rPr>
                <w:rFonts w:cs="Arial"/>
                <w:b w:val="0"/>
                <w:sz w:val="20"/>
                <w:szCs w:val="22"/>
                <w:vertAlign w:val="superscript"/>
              </w:rPr>
              <w:t>2</w:t>
            </w:r>
            <w:r w:rsidRPr="00123C5D">
              <w:rPr>
                <w:rFonts w:cs="Arial"/>
                <w:b w:val="0"/>
                <w:sz w:val="20"/>
                <w:szCs w:val="22"/>
              </w:rPr>
              <w:t xml:space="preserve"> (Year 3-20 average) </w:t>
            </w:r>
          </w:p>
        </w:tc>
        <w:tc>
          <w:tcPr>
            <w:tcW w:w="1145" w:type="dxa"/>
            <w:tcBorders>
              <w:left w:val="nil"/>
            </w:tcBorders>
          </w:tcPr>
          <w:p w14:paraId="653EBCF1" w14:textId="77777777" w:rsidR="00123C5D" w:rsidRPr="00123C5D" w:rsidRDefault="00123C5D" w:rsidP="004E4576">
            <w:pPr>
              <w:pStyle w:val="TableX"/>
              <w:jc w:val="right"/>
              <w:cnfStyle w:val="000000100000" w:firstRow="0" w:lastRow="0" w:firstColumn="0" w:lastColumn="0" w:oddVBand="0" w:evenVBand="0" w:oddHBand="1" w:evenHBand="0" w:firstRowFirstColumn="0" w:firstRowLastColumn="0" w:lastRowFirstColumn="0" w:lastRowLastColumn="0"/>
              <w:rPr>
                <w:rFonts w:cs="Arial"/>
                <w:i/>
                <w:sz w:val="20"/>
                <w:szCs w:val="22"/>
              </w:rPr>
            </w:pPr>
            <w:r w:rsidRPr="00123C5D">
              <w:rPr>
                <w:rFonts w:cs="Arial"/>
                <w:i/>
                <w:sz w:val="20"/>
                <w:szCs w:val="22"/>
              </w:rPr>
              <w:t>Nickel</w:t>
            </w:r>
          </w:p>
        </w:tc>
        <w:tc>
          <w:tcPr>
            <w:tcW w:w="4039" w:type="dxa"/>
          </w:tcPr>
          <w:p w14:paraId="32E34A82" w14:textId="77777777" w:rsidR="00123C5D" w:rsidRPr="00123C5D" w:rsidRDefault="00123C5D" w:rsidP="004E4576">
            <w:pPr>
              <w:pStyle w:val="TableX"/>
              <w:cnfStyle w:val="000000100000" w:firstRow="0" w:lastRow="0" w:firstColumn="0" w:lastColumn="0" w:oddVBand="0" w:evenVBand="0" w:oddHBand="1" w:evenHBand="0" w:firstRowFirstColumn="0" w:firstRowLastColumn="0" w:lastRowFirstColumn="0" w:lastRowLastColumn="0"/>
              <w:rPr>
                <w:rFonts w:cs="Arial"/>
                <w:b/>
                <w:sz w:val="20"/>
                <w:szCs w:val="22"/>
                <w:highlight w:val="yellow"/>
              </w:rPr>
            </w:pPr>
            <w:r w:rsidRPr="00123C5D">
              <w:rPr>
                <w:rFonts w:cs="Arial"/>
                <w:b/>
                <w:sz w:val="20"/>
                <w:szCs w:val="22"/>
              </w:rPr>
              <w:t>0.80%</w:t>
            </w:r>
          </w:p>
        </w:tc>
      </w:tr>
      <w:tr w:rsidR="00123C5D" w:rsidRPr="00123C5D" w14:paraId="102B7B65" w14:textId="77777777" w:rsidTr="004E4576">
        <w:tc>
          <w:tcPr>
            <w:cnfStyle w:val="001000000000" w:firstRow="0" w:lastRow="0" w:firstColumn="1" w:lastColumn="0" w:oddVBand="0" w:evenVBand="0" w:oddHBand="0" w:evenHBand="0" w:firstRowFirstColumn="0" w:firstRowLastColumn="0" w:lastRowFirstColumn="0" w:lastRowLastColumn="0"/>
            <w:tcW w:w="5396" w:type="dxa"/>
            <w:gridSpan w:val="3"/>
            <w:tcBorders>
              <w:bottom w:val="single" w:sz="4" w:space="0" w:color="C9C9C9" w:themeColor="accent3" w:themeTint="99"/>
            </w:tcBorders>
          </w:tcPr>
          <w:p w14:paraId="3AC29601" w14:textId="77777777" w:rsidR="00123C5D" w:rsidRPr="00123C5D" w:rsidRDefault="00123C5D" w:rsidP="004E4576">
            <w:pPr>
              <w:pStyle w:val="TableX"/>
              <w:jc w:val="right"/>
              <w:rPr>
                <w:rFonts w:cs="Arial"/>
                <w:b w:val="0"/>
                <w:i/>
                <w:sz w:val="20"/>
                <w:szCs w:val="22"/>
              </w:rPr>
            </w:pPr>
            <w:r w:rsidRPr="00123C5D">
              <w:rPr>
                <w:rFonts w:cs="Arial"/>
                <w:b w:val="0"/>
                <w:i/>
                <w:sz w:val="20"/>
                <w:szCs w:val="22"/>
              </w:rPr>
              <w:t>Cobalt</w:t>
            </w:r>
          </w:p>
        </w:tc>
        <w:tc>
          <w:tcPr>
            <w:tcW w:w="4039" w:type="dxa"/>
          </w:tcPr>
          <w:p w14:paraId="56016FD1" w14:textId="77777777" w:rsidR="00123C5D" w:rsidRPr="00123C5D" w:rsidRDefault="00123C5D" w:rsidP="004E4576">
            <w:pPr>
              <w:pStyle w:val="TableX"/>
              <w:cnfStyle w:val="000000000000" w:firstRow="0" w:lastRow="0" w:firstColumn="0" w:lastColumn="0" w:oddVBand="0" w:evenVBand="0" w:oddHBand="0" w:evenHBand="0" w:firstRowFirstColumn="0" w:firstRowLastColumn="0" w:lastRowFirstColumn="0" w:lastRowLastColumn="0"/>
              <w:rPr>
                <w:rFonts w:cs="Arial"/>
                <w:b/>
                <w:sz w:val="20"/>
                <w:szCs w:val="22"/>
                <w:highlight w:val="yellow"/>
              </w:rPr>
            </w:pPr>
            <w:r w:rsidRPr="00123C5D">
              <w:rPr>
                <w:rFonts w:cs="Arial"/>
                <w:b/>
                <w:sz w:val="20"/>
                <w:szCs w:val="22"/>
              </w:rPr>
              <w:t>0.14%</w:t>
            </w:r>
          </w:p>
        </w:tc>
      </w:tr>
      <w:tr w:rsidR="00123C5D" w:rsidRPr="00123C5D" w14:paraId="4411CD1C" w14:textId="77777777" w:rsidTr="004E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7" w:type="dxa"/>
            <w:tcBorders>
              <w:right w:val="nil"/>
            </w:tcBorders>
          </w:tcPr>
          <w:p w14:paraId="6F299CB1" w14:textId="77777777" w:rsidR="00123C5D" w:rsidRPr="00123C5D" w:rsidRDefault="00123C5D" w:rsidP="004E4576">
            <w:pPr>
              <w:pStyle w:val="TableX"/>
              <w:jc w:val="left"/>
              <w:rPr>
                <w:rFonts w:cs="Arial"/>
                <w:bCs w:val="0"/>
                <w:sz w:val="20"/>
                <w:szCs w:val="22"/>
              </w:rPr>
            </w:pPr>
            <w:r w:rsidRPr="00123C5D">
              <w:rPr>
                <w:rFonts w:cs="Arial"/>
                <w:b w:val="0"/>
                <w:sz w:val="20"/>
                <w:szCs w:val="22"/>
              </w:rPr>
              <w:t>Production (Years 3-20 average)</w:t>
            </w:r>
          </w:p>
        </w:tc>
        <w:tc>
          <w:tcPr>
            <w:tcW w:w="1859" w:type="dxa"/>
            <w:gridSpan w:val="2"/>
            <w:tcBorders>
              <w:left w:val="nil"/>
            </w:tcBorders>
          </w:tcPr>
          <w:p w14:paraId="2A6D2BB0" w14:textId="77777777" w:rsidR="00123C5D" w:rsidRPr="00123C5D" w:rsidRDefault="00123C5D" w:rsidP="004E4576">
            <w:pPr>
              <w:pStyle w:val="TableX"/>
              <w:jc w:val="right"/>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i/>
                <w:sz w:val="20"/>
                <w:szCs w:val="22"/>
              </w:rPr>
              <w:t>Nickel sulphate</w:t>
            </w:r>
          </w:p>
        </w:tc>
        <w:tc>
          <w:tcPr>
            <w:tcW w:w="4039" w:type="dxa"/>
          </w:tcPr>
          <w:p w14:paraId="3931BC4E" w14:textId="77777777" w:rsidR="00123C5D" w:rsidRPr="00123C5D" w:rsidRDefault="00123C5D" w:rsidP="004E4576">
            <w:pPr>
              <w:pStyle w:val="TableX"/>
              <w:cnfStyle w:val="000000100000" w:firstRow="0" w:lastRow="0" w:firstColumn="0" w:lastColumn="0" w:oddVBand="0" w:evenVBand="0" w:oddHBand="1" w:evenHBand="0" w:firstRowFirstColumn="0" w:firstRowLastColumn="0" w:lastRowFirstColumn="0" w:lastRowLastColumn="0"/>
              <w:rPr>
                <w:rFonts w:cs="Arial"/>
                <w:b/>
                <w:sz w:val="20"/>
                <w:szCs w:val="22"/>
                <w:highlight w:val="yellow"/>
              </w:rPr>
            </w:pPr>
            <w:r w:rsidRPr="00123C5D">
              <w:rPr>
                <w:rFonts w:cs="Arial"/>
                <w:b/>
                <w:sz w:val="20"/>
                <w:szCs w:val="22"/>
              </w:rPr>
              <w:t>85,135tpa</w:t>
            </w:r>
          </w:p>
        </w:tc>
      </w:tr>
      <w:tr w:rsidR="00123C5D" w:rsidRPr="00123C5D" w14:paraId="2DDEA9F2" w14:textId="77777777" w:rsidTr="004E4576">
        <w:tc>
          <w:tcPr>
            <w:cnfStyle w:val="001000000000" w:firstRow="0" w:lastRow="0" w:firstColumn="1" w:lastColumn="0" w:oddVBand="0" w:evenVBand="0" w:oddHBand="0" w:evenHBand="0" w:firstRowFirstColumn="0" w:firstRowLastColumn="0" w:lastRowFirstColumn="0" w:lastRowLastColumn="0"/>
            <w:tcW w:w="5396" w:type="dxa"/>
            <w:gridSpan w:val="3"/>
            <w:tcBorders>
              <w:bottom w:val="single" w:sz="4" w:space="0" w:color="C9C9C9" w:themeColor="accent3" w:themeTint="99"/>
            </w:tcBorders>
          </w:tcPr>
          <w:p w14:paraId="79F67DAA" w14:textId="77777777" w:rsidR="00123C5D" w:rsidRPr="00123C5D" w:rsidRDefault="00123C5D" w:rsidP="004E4576">
            <w:pPr>
              <w:pStyle w:val="TableX"/>
              <w:jc w:val="right"/>
              <w:rPr>
                <w:rFonts w:cs="Arial"/>
                <w:b w:val="0"/>
                <w:sz w:val="20"/>
                <w:szCs w:val="22"/>
              </w:rPr>
            </w:pPr>
            <w:r w:rsidRPr="00123C5D">
              <w:rPr>
                <w:rFonts w:cs="Arial"/>
                <w:b w:val="0"/>
                <w:i/>
                <w:sz w:val="20"/>
                <w:szCs w:val="22"/>
              </w:rPr>
              <w:t>Cobalt sulphate</w:t>
            </w:r>
          </w:p>
        </w:tc>
        <w:tc>
          <w:tcPr>
            <w:tcW w:w="4039" w:type="dxa"/>
          </w:tcPr>
          <w:p w14:paraId="003FE271" w14:textId="77777777" w:rsidR="00123C5D" w:rsidRPr="00123C5D" w:rsidRDefault="00123C5D" w:rsidP="004E4576">
            <w:pPr>
              <w:pStyle w:val="TableX"/>
              <w:cnfStyle w:val="000000000000" w:firstRow="0" w:lastRow="0" w:firstColumn="0" w:lastColumn="0" w:oddVBand="0" w:evenVBand="0" w:oddHBand="0" w:evenHBand="0" w:firstRowFirstColumn="0" w:firstRowLastColumn="0" w:lastRowFirstColumn="0" w:lastRowLastColumn="0"/>
              <w:rPr>
                <w:rFonts w:cs="Arial"/>
                <w:b/>
                <w:sz w:val="20"/>
                <w:szCs w:val="22"/>
                <w:highlight w:val="yellow"/>
              </w:rPr>
            </w:pPr>
            <w:r w:rsidRPr="00123C5D">
              <w:rPr>
                <w:rFonts w:cs="Arial"/>
                <w:b/>
                <w:sz w:val="20"/>
                <w:szCs w:val="22"/>
              </w:rPr>
              <w:t>15,343tpa</w:t>
            </w:r>
          </w:p>
        </w:tc>
      </w:tr>
      <w:tr w:rsidR="00123C5D" w:rsidRPr="00123C5D" w14:paraId="76655168" w14:textId="77777777" w:rsidTr="004E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7" w:type="dxa"/>
            <w:tcBorders>
              <w:right w:val="nil"/>
            </w:tcBorders>
          </w:tcPr>
          <w:p w14:paraId="522A78CA" w14:textId="77777777" w:rsidR="00123C5D" w:rsidRPr="00123C5D" w:rsidRDefault="00123C5D" w:rsidP="004E4576">
            <w:pPr>
              <w:pStyle w:val="TableX"/>
              <w:jc w:val="left"/>
              <w:rPr>
                <w:rFonts w:cs="Arial"/>
                <w:bCs w:val="0"/>
                <w:sz w:val="20"/>
                <w:szCs w:val="22"/>
              </w:rPr>
            </w:pPr>
            <w:r w:rsidRPr="00123C5D">
              <w:rPr>
                <w:rFonts w:cs="Arial"/>
                <w:b w:val="0"/>
                <w:sz w:val="20"/>
                <w:szCs w:val="22"/>
              </w:rPr>
              <w:t>Production (Years 3-20 average)</w:t>
            </w:r>
          </w:p>
        </w:tc>
        <w:tc>
          <w:tcPr>
            <w:tcW w:w="1859" w:type="dxa"/>
            <w:gridSpan w:val="2"/>
            <w:tcBorders>
              <w:left w:val="nil"/>
            </w:tcBorders>
          </w:tcPr>
          <w:p w14:paraId="4268B75F" w14:textId="77777777" w:rsidR="00123C5D" w:rsidRPr="00123C5D" w:rsidRDefault="00123C5D" w:rsidP="004E4576">
            <w:pPr>
              <w:pStyle w:val="TableX"/>
              <w:jc w:val="right"/>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i/>
                <w:sz w:val="20"/>
                <w:szCs w:val="22"/>
              </w:rPr>
              <w:t>Contained nickel</w:t>
            </w:r>
          </w:p>
        </w:tc>
        <w:tc>
          <w:tcPr>
            <w:tcW w:w="4039" w:type="dxa"/>
          </w:tcPr>
          <w:p w14:paraId="464F971F" w14:textId="77777777" w:rsidR="00123C5D" w:rsidRPr="00123C5D" w:rsidRDefault="00123C5D" w:rsidP="004E4576">
            <w:pPr>
              <w:pStyle w:val="TableX"/>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b/>
                <w:sz w:val="20"/>
                <w:szCs w:val="22"/>
              </w:rPr>
              <w:t>18,730tpa</w:t>
            </w:r>
          </w:p>
        </w:tc>
      </w:tr>
      <w:tr w:rsidR="00123C5D" w:rsidRPr="00123C5D" w14:paraId="516BB654" w14:textId="77777777" w:rsidTr="004E4576">
        <w:tc>
          <w:tcPr>
            <w:cnfStyle w:val="001000000000" w:firstRow="0" w:lastRow="0" w:firstColumn="1" w:lastColumn="0" w:oddVBand="0" w:evenVBand="0" w:oddHBand="0" w:evenHBand="0" w:firstRowFirstColumn="0" w:firstRowLastColumn="0" w:lastRowFirstColumn="0" w:lastRowLastColumn="0"/>
            <w:tcW w:w="5396" w:type="dxa"/>
            <w:gridSpan w:val="3"/>
            <w:tcBorders>
              <w:bottom w:val="single" w:sz="4" w:space="0" w:color="C9C9C9" w:themeColor="accent3" w:themeTint="99"/>
            </w:tcBorders>
          </w:tcPr>
          <w:p w14:paraId="27F0F81F" w14:textId="77777777" w:rsidR="00123C5D" w:rsidRPr="00123C5D" w:rsidRDefault="00123C5D" w:rsidP="004E4576">
            <w:pPr>
              <w:pStyle w:val="TableX"/>
              <w:jc w:val="right"/>
              <w:rPr>
                <w:rFonts w:cs="Arial"/>
                <w:b w:val="0"/>
                <w:sz w:val="20"/>
                <w:szCs w:val="22"/>
              </w:rPr>
            </w:pPr>
            <w:r w:rsidRPr="00123C5D">
              <w:rPr>
                <w:rFonts w:cs="Arial"/>
                <w:b w:val="0"/>
                <w:i/>
                <w:sz w:val="20"/>
                <w:szCs w:val="22"/>
              </w:rPr>
              <w:t>Contained cobalt</w:t>
            </w:r>
          </w:p>
        </w:tc>
        <w:tc>
          <w:tcPr>
            <w:tcW w:w="4039" w:type="dxa"/>
          </w:tcPr>
          <w:p w14:paraId="626B821E" w14:textId="77777777" w:rsidR="00123C5D" w:rsidRPr="00123C5D" w:rsidRDefault="00123C5D" w:rsidP="004E4576">
            <w:pPr>
              <w:pStyle w:val="TableX"/>
              <w:cnfStyle w:val="000000000000" w:firstRow="0" w:lastRow="0" w:firstColumn="0" w:lastColumn="0" w:oddVBand="0" w:evenVBand="0" w:oddHBand="0" w:evenHBand="0" w:firstRowFirstColumn="0" w:firstRowLastColumn="0" w:lastRowFirstColumn="0" w:lastRowLastColumn="0"/>
              <w:rPr>
                <w:rFonts w:cs="Arial"/>
                <w:b/>
                <w:sz w:val="20"/>
                <w:szCs w:val="22"/>
              </w:rPr>
            </w:pPr>
            <w:r w:rsidRPr="00123C5D">
              <w:rPr>
                <w:rFonts w:cs="Arial"/>
                <w:b/>
                <w:sz w:val="20"/>
                <w:szCs w:val="22"/>
              </w:rPr>
              <w:t>3,222tpa</w:t>
            </w:r>
          </w:p>
        </w:tc>
      </w:tr>
      <w:tr w:rsidR="00123C5D" w:rsidRPr="00123C5D" w14:paraId="1BC0C259" w14:textId="77777777" w:rsidTr="004E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7" w:type="dxa"/>
            <w:tcBorders>
              <w:right w:val="nil"/>
            </w:tcBorders>
          </w:tcPr>
          <w:p w14:paraId="2C3E90E7" w14:textId="77777777" w:rsidR="00123C5D" w:rsidRPr="00123C5D" w:rsidRDefault="00123C5D" w:rsidP="004E4576">
            <w:pPr>
              <w:pStyle w:val="TableX"/>
              <w:jc w:val="left"/>
              <w:rPr>
                <w:rFonts w:cs="Arial"/>
                <w:bCs w:val="0"/>
                <w:sz w:val="20"/>
                <w:szCs w:val="22"/>
              </w:rPr>
            </w:pPr>
            <w:r w:rsidRPr="00123C5D">
              <w:rPr>
                <w:rFonts w:cs="Arial"/>
                <w:b w:val="0"/>
                <w:sz w:val="20"/>
                <w:szCs w:val="22"/>
              </w:rPr>
              <w:t>Recovery (Years 3-20 average)</w:t>
            </w:r>
          </w:p>
        </w:tc>
        <w:tc>
          <w:tcPr>
            <w:tcW w:w="1859" w:type="dxa"/>
            <w:gridSpan w:val="2"/>
            <w:tcBorders>
              <w:left w:val="nil"/>
            </w:tcBorders>
          </w:tcPr>
          <w:p w14:paraId="7749C655" w14:textId="77777777" w:rsidR="00123C5D" w:rsidRPr="00123C5D" w:rsidRDefault="00123C5D" w:rsidP="004E4576">
            <w:pPr>
              <w:pStyle w:val="TableX"/>
              <w:jc w:val="right"/>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i/>
                <w:sz w:val="20"/>
                <w:szCs w:val="22"/>
              </w:rPr>
              <w:t>Nickel</w:t>
            </w:r>
          </w:p>
        </w:tc>
        <w:tc>
          <w:tcPr>
            <w:tcW w:w="4039" w:type="dxa"/>
          </w:tcPr>
          <w:p w14:paraId="644A919B" w14:textId="77777777" w:rsidR="00123C5D" w:rsidRPr="00123C5D" w:rsidRDefault="00123C5D" w:rsidP="004E4576">
            <w:pPr>
              <w:pStyle w:val="TableX"/>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b/>
                <w:sz w:val="20"/>
                <w:szCs w:val="22"/>
              </w:rPr>
              <w:t>93.5%</w:t>
            </w:r>
          </w:p>
        </w:tc>
      </w:tr>
      <w:tr w:rsidR="00123C5D" w:rsidRPr="00123C5D" w14:paraId="26EDB497" w14:textId="77777777" w:rsidTr="004E4576">
        <w:tc>
          <w:tcPr>
            <w:cnfStyle w:val="001000000000" w:firstRow="0" w:lastRow="0" w:firstColumn="1" w:lastColumn="0" w:oddVBand="0" w:evenVBand="0" w:oddHBand="0" w:evenHBand="0" w:firstRowFirstColumn="0" w:firstRowLastColumn="0" w:lastRowFirstColumn="0" w:lastRowLastColumn="0"/>
            <w:tcW w:w="5396" w:type="dxa"/>
            <w:gridSpan w:val="3"/>
          </w:tcPr>
          <w:p w14:paraId="4CEC9E68" w14:textId="77777777" w:rsidR="00123C5D" w:rsidRPr="00123C5D" w:rsidRDefault="00123C5D" w:rsidP="004E4576">
            <w:pPr>
              <w:pStyle w:val="TableX"/>
              <w:jc w:val="right"/>
              <w:rPr>
                <w:rFonts w:cs="Arial"/>
                <w:b w:val="0"/>
                <w:sz w:val="20"/>
                <w:szCs w:val="22"/>
              </w:rPr>
            </w:pPr>
            <w:r w:rsidRPr="00123C5D">
              <w:rPr>
                <w:rFonts w:cs="Arial"/>
                <w:b w:val="0"/>
                <w:i/>
                <w:sz w:val="20"/>
                <w:szCs w:val="22"/>
              </w:rPr>
              <w:t>Cobalt</w:t>
            </w:r>
          </w:p>
        </w:tc>
        <w:tc>
          <w:tcPr>
            <w:tcW w:w="4039" w:type="dxa"/>
          </w:tcPr>
          <w:p w14:paraId="2C85DFF6" w14:textId="77777777" w:rsidR="00123C5D" w:rsidRPr="00123C5D" w:rsidRDefault="00123C5D" w:rsidP="004E4576">
            <w:pPr>
              <w:pStyle w:val="TableX"/>
              <w:cnfStyle w:val="000000000000" w:firstRow="0" w:lastRow="0" w:firstColumn="0" w:lastColumn="0" w:oddVBand="0" w:evenVBand="0" w:oddHBand="0" w:evenHBand="0" w:firstRowFirstColumn="0" w:firstRowLastColumn="0" w:lastRowFirstColumn="0" w:lastRowLastColumn="0"/>
              <w:rPr>
                <w:rFonts w:cs="Arial"/>
                <w:b/>
                <w:sz w:val="20"/>
                <w:szCs w:val="22"/>
              </w:rPr>
            </w:pPr>
            <w:r w:rsidRPr="00123C5D">
              <w:rPr>
                <w:rFonts w:cs="Arial"/>
                <w:b/>
                <w:sz w:val="20"/>
                <w:szCs w:val="22"/>
              </w:rPr>
              <w:t>92.7%</w:t>
            </w:r>
          </w:p>
        </w:tc>
      </w:tr>
      <w:tr w:rsidR="00123C5D" w:rsidRPr="00123C5D" w14:paraId="509EC76D" w14:textId="77777777" w:rsidTr="004E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6" w:type="dxa"/>
            <w:gridSpan w:val="3"/>
          </w:tcPr>
          <w:p w14:paraId="0835BEA1" w14:textId="77777777" w:rsidR="00123C5D" w:rsidRPr="00123C5D" w:rsidRDefault="00123C5D" w:rsidP="004E4576">
            <w:pPr>
              <w:pStyle w:val="TableX"/>
              <w:jc w:val="left"/>
              <w:rPr>
                <w:rFonts w:cs="Arial"/>
                <w:b w:val="0"/>
                <w:sz w:val="20"/>
                <w:szCs w:val="22"/>
              </w:rPr>
            </w:pPr>
            <w:r w:rsidRPr="00123C5D">
              <w:rPr>
                <w:rFonts w:cs="Arial"/>
                <w:sz w:val="20"/>
                <w:szCs w:val="22"/>
              </w:rPr>
              <w:t xml:space="preserve">Nickel </w:t>
            </w:r>
            <w:r w:rsidRPr="00123C5D">
              <w:rPr>
                <w:rFonts w:cs="Arial"/>
                <w:b w:val="0"/>
                <w:sz w:val="20"/>
                <w:szCs w:val="22"/>
              </w:rPr>
              <w:t xml:space="preserve">price assumption </w:t>
            </w:r>
            <w:r w:rsidRPr="00123C5D">
              <w:rPr>
                <w:rFonts w:cs="Arial"/>
                <w:b w:val="0"/>
                <w:sz w:val="20"/>
                <w:szCs w:val="22"/>
                <w:vertAlign w:val="superscript"/>
              </w:rPr>
              <w:t>3</w:t>
            </w:r>
          </w:p>
        </w:tc>
        <w:tc>
          <w:tcPr>
            <w:tcW w:w="4039" w:type="dxa"/>
          </w:tcPr>
          <w:p w14:paraId="10DEDBB1" w14:textId="77777777" w:rsidR="00123C5D" w:rsidRPr="00123C5D" w:rsidRDefault="00123C5D" w:rsidP="004E4576">
            <w:pPr>
              <w:pStyle w:val="TableX"/>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b/>
                <w:sz w:val="20"/>
                <w:szCs w:val="22"/>
              </w:rPr>
              <w:t>US$7.50/lb</w:t>
            </w:r>
          </w:p>
        </w:tc>
      </w:tr>
      <w:tr w:rsidR="00123C5D" w:rsidRPr="00123C5D" w14:paraId="0AC9FBEA" w14:textId="77777777" w:rsidTr="004E4576">
        <w:tc>
          <w:tcPr>
            <w:cnfStyle w:val="001000000000" w:firstRow="0" w:lastRow="0" w:firstColumn="1" w:lastColumn="0" w:oddVBand="0" w:evenVBand="0" w:oddHBand="0" w:evenHBand="0" w:firstRowFirstColumn="0" w:firstRowLastColumn="0" w:lastRowFirstColumn="0" w:lastRowLastColumn="0"/>
            <w:tcW w:w="5396" w:type="dxa"/>
            <w:gridSpan w:val="3"/>
          </w:tcPr>
          <w:p w14:paraId="76558E4A" w14:textId="77777777" w:rsidR="00123C5D" w:rsidRPr="00123C5D" w:rsidRDefault="00123C5D" w:rsidP="004E4576">
            <w:pPr>
              <w:pStyle w:val="TableX"/>
              <w:jc w:val="left"/>
              <w:rPr>
                <w:rFonts w:cs="Arial"/>
                <w:b w:val="0"/>
                <w:sz w:val="20"/>
                <w:szCs w:val="22"/>
              </w:rPr>
            </w:pPr>
            <w:r w:rsidRPr="00123C5D">
              <w:rPr>
                <w:rFonts w:cs="Arial"/>
                <w:sz w:val="20"/>
                <w:szCs w:val="22"/>
              </w:rPr>
              <w:t xml:space="preserve">Cobalt </w:t>
            </w:r>
            <w:r w:rsidRPr="00123C5D">
              <w:rPr>
                <w:rFonts w:cs="Arial"/>
                <w:b w:val="0"/>
                <w:sz w:val="20"/>
                <w:szCs w:val="22"/>
              </w:rPr>
              <w:t xml:space="preserve">price assumption </w:t>
            </w:r>
            <w:r w:rsidRPr="00123C5D">
              <w:rPr>
                <w:rFonts w:cs="Arial"/>
                <w:b w:val="0"/>
                <w:sz w:val="20"/>
                <w:szCs w:val="22"/>
                <w:vertAlign w:val="superscript"/>
              </w:rPr>
              <w:t>3</w:t>
            </w:r>
          </w:p>
        </w:tc>
        <w:tc>
          <w:tcPr>
            <w:tcW w:w="4039" w:type="dxa"/>
          </w:tcPr>
          <w:p w14:paraId="4B40AA16" w14:textId="77777777" w:rsidR="00123C5D" w:rsidRPr="00123C5D" w:rsidRDefault="00123C5D" w:rsidP="004E4576">
            <w:pPr>
              <w:pStyle w:val="TableX"/>
              <w:cnfStyle w:val="000000000000" w:firstRow="0" w:lastRow="0" w:firstColumn="0" w:lastColumn="0" w:oddVBand="0" w:evenVBand="0" w:oddHBand="0" w:evenHBand="0" w:firstRowFirstColumn="0" w:firstRowLastColumn="0" w:lastRowFirstColumn="0" w:lastRowLastColumn="0"/>
              <w:rPr>
                <w:rFonts w:cs="Arial"/>
                <w:b/>
                <w:sz w:val="20"/>
                <w:szCs w:val="22"/>
              </w:rPr>
            </w:pPr>
            <w:r w:rsidRPr="00123C5D">
              <w:rPr>
                <w:rFonts w:cs="Arial"/>
                <w:b/>
                <w:sz w:val="20"/>
                <w:szCs w:val="22"/>
              </w:rPr>
              <w:t>US$12.00/lb</w:t>
            </w:r>
          </w:p>
        </w:tc>
      </w:tr>
      <w:tr w:rsidR="00123C5D" w:rsidRPr="00123C5D" w14:paraId="4DB0211B" w14:textId="77777777" w:rsidTr="004E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6" w:type="dxa"/>
            <w:gridSpan w:val="3"/>
            <w:tcBorders>
              <w:bottom w:val="single" w:sz="4" w:space="0" w:color="C9C9C9" w:themeColor="accent3" w:themeTint="99"/>
            </w:tcBorders>
          </w:tcPr>
          <w:p w14:paraId="01D20565" w14:textId="77777777" w:rsidR="00123C5D" w:rsidRPr="00123C5D" w:rsidRDefault="00123C5D" w:rsidP="004E4576">
            <w:pPr>
              <w:pStyle w:val="TableX"/>
              <w:jc w:val="left"/>
              <w:rPr>
                <w:rFonts w:cs="Arial"/>
                <w:b w:val="0"/>
                <w:sz w:val="20"/>
                <w:szCs w:val="22"/>
              </w:rPr>
            </w:pPr>
            <w:r w:rsidRPr="00123C5D">
              <w:rPr>
                <w:rFonts w:cs="Arial"/>
                <w:b w:val="0"/>
                <w:sz w:val="20"/>
                <w:szCs w:val="22"/>
              </w:rPr>
              <w:t>Exchange Rate</w:t>
            </w:r>
          </w:p>
        </w:tc>
        <w:tc>
          <w:tcPr>
            <w:tcW w:w="4039" w:type="dxa"/>
          </w:tcPr>
          <w:p w14:paraId="7125AECF" w14:textId="77777777" w:rsidR="00123C5D" w:rsidRPr="00123C5D" w:rsidRDefault="00123C5D" w:rsidP="004E4576">
            <w:pPr>
              <w:pStyle w:val="TableX"/>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b/>
                <w:sz w:val="20"/>
                <w:szCs w:val="22"/>
              </w:rPr>
              <w:t>A$/US$ 0.75</w:t>
            </w:r>
          </w:p>
        </w:tc>
      </w:tr>
      <w:tr w:rsidR="00123C5D" w:rsidRPr="00123C5D" w14:paraId="1ECA3277" w14:textId="77777777" w:rsidTr="004E4576">
        <w:tc>
          <w:tcPr>
            <w:cnfStyle w:val="001000000000" w:firstRow="0" w:lastRow="0" w:firstColumn="1" w:lastColumn="0" w:oddVBand="0" w:evenVBand="0" w:oddHBand="0" w:evenHBand="0" w:firstRowFirstColumn="0" w:firstRowLastColumn="0" w:lastRowFirstColumn="0" w:lastRowLastColumn="0"/>
            <w:tcW w:w="0" w:type="dxa"/>
            <w:tcBorders>
              <w:right w:val="nil"/>
            </w:tcBorders>
            <w:shd w:val="clear" w:color="auto" w:fill="F2F2F2" w:themeFill="background1" w:themeFillShade="F2"/>
          </w:tcPr>
          <w:p w14:paraId="78F2D48F" w14:textId="77777777" w:rsidR="00123C5D" w:rsidRPr="00123C5D" w:rsidRDefault="00123C5D" w:rsidP="004E4576">
            <w:pPr>
              <w:pStyle w:val="TableX"/>
              <w:jc w:val="left"/>
              <w:rPr>
                <w:rFonts w:cs="Arial"/>
                <w:bCs w:val="0"/>
                <w:sz w:val="20"/>
                <w:szCs w:val="22"/>
              </w:rPr>
            </w:pPr>
            <w:r w:rsidRPr="00123C5D">
              <w:rPr>
                <w:rFonts w:cs="Arial"/>
                <w:b w:val="0"/>
                <w:sz w:val="20"/>
                <w:szCs w:val="22"/>
              </w:rPr>
              <w:t xml:space="preserve">Total Capital Cost </w:t>
            </w:r>
            <w:r w:rsidRPr="00123C5D">
              <w:rPr>
                <w:rFonts w:cs="Arial"/>
                <w:b w:val="0"/>
                <w:sz w:val="20"/>
                <w:szCs w:val="22"/>
                <w:vertAlign w:val="superscript"/>
              </w:rPr>
              <w:t>4</w:t>
            </w:r>
          </w:p>
        </w:tc>
        <w:tc>
          <w:tcPr>
            <w:tcW w:w="0" w:type="dxa"/>
            <w:gridSpan w:val="2"/>
            <w:tcBorders>
              <w:left w:val="nil"/>
            </w:tcBorders>
            <w:shd w:val="clear" w:color="auto" w:fill="F2F2F2" w:themeFill="background1" w:themeFillShade="F2"/>
          </w:tcPr>
          <w:p w14:paraId="16D1644B" w14:textId="77777777" w:rsidR="00123C5D" w:rsidRPr="00123C5D" w:rsidRDefault="00123C5D" w:rsidP="004E4576">
            <w:pPr>
              <w:pStyle w:val="TableX"/>
              <w:jc w:val="right"/>
              <w:cnfStyle w:val="000000000000" w:firstRow="0" w:lastRow="0" w:firstColumn="0" w:lastColumn="0" w:oddVBand="0" w:evenVBand="0" w:oddHBand="0" w:evenHBand="0" w:firstRowFirstColumn="0" w:firstRowLastColumn="0" w:lastRowFirstColumn="0" w:lastRowLastColumn="0"/>
              <w:rPr>
                <w:rFonts w:cs="Arial"/>
                <w:b/>
                <w:sz w:val="20"/>
                <w:szCs w:val="22"/>
              </w:rPr>
            </w:pPr>
          </w:p>
        </w:tc>
        <w:tc>
          <w:tcPr>
            <w:tcW w:w="0" w:type="dxa"/>
            <w:shd w:val="clear" w:color="auto" w:fill="F2F2F2" w:themeFill="background1" w:themeFillShade="F2"/>
          </w:tcPr>
          <w:p w14:paraId="7A014BE9" w14:textId="77777777" w:rsidR="00123C5D" w:rsidRPr="00123C5D" w:rsidRDefault="00123C5D" w:rsidP="004E4576">
            <w:pPr>
              <w:pStyle w:val="TableX"/>
              <w:cnfStyle w:val="000000000000" w:firstRow="0" w:lastRow="0" w:firstColumn="0" w:lastColumn="0" w:oddVBand="0" w:evenVBand="0" w:oddHBand="0" w:evenHBand="0" w:firstRowFirstColumn="0" w:firstRowLastColumn="0" w:lastRowFirstColumn="0" w:lastRowLastColumn="0"/>
              <w:rPr>
                <w:rFonts w:cs="Arial"/>
                <w:b/>
                <w:sz w:val="20"/>
                <w:szCs w:val="22"/>
              </w:rPr>
            </w:pPr>
            <w:r w:rsidRPr="00123C5D">
              <w:rPr>
                <w:rFonts w:cs="Arial"/>
                <w:b/>
                <w:sz w:val="20"/>
                <w:szCs w:val="22"/>
              </w:rPr>
              <w:t>US$680M (A$912M)</w:t>
            </w:r>
          </w:p>
        </w:tc>
      </w:tr>
      <w:tr w:rsidR="00123C5D" w:rsidRPr="00123C5D" w14:paraId="1AB027B3" w14:textId="77777777" w:rsidTr="004E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7" w:type="dxa"/>
            <w:tcBorders>
              <w:right w:val="nil"/>
            </w:tcBorders>
            <w:shd w:val="clear" w:color="auto" w:fill="F2F2F2" w:themeFill="background1" w:themeFillShade="F2"/>
          </w:tcPr>
          <w:p w14:paraId="4DFECCC8" w14:textId="77777777" w:rsidR="00123C5D" w:rsidRPr="00123C5D" w:rsidRDefault="00123C5D" w:rsidP="004E4576">
            <w:pPr>
              <w:pStyle w:val="TableX"/>
              <w:jc w:val="left"/>
              <w:rPr>
                <w:rFonts w:cs="Arial"/>
                <w:bCs w:val="0"/>
                <w:sz w:val="20"/>
                <w:szCs w:val="22"/>
              </w:rPr>
            </w:pPr>
            <w:r w:rsidRPr="00123C5D">
              <w:rPr>
                <w:rFonts w:cs="Arial"/>
                <w:b w:val="0"/>
                <w:sz w:val="20"/>
                <w:szCs w:val="22"/>
              </w:rPr>
              <w:t xml:space="preserve">C1 Cash Cost (Year 3-20 average) </w:t>
            </w:r>
            <w:r w:rsidRPr="00123C5D">
              <w:rPr>
                <w:rFonts w:cs="Arial"/>
                <w:b w:val="0"/>
                <w:sz w:val="20"/>
                <w:szCs w:val="22"/>
                <w:vertAlign w:val="superscript"/>
              </w:rPr>
              <w:t>5</w:t>
            </w:r>
          </w:p>
        </w:tc>
        <w:tc>
          <w:tcPr>
            <w:tcW w:w="1859" w:type="dxa"/>
            <w:gridSpan w:val="2"/>
            <w:tcBorders>
              <w:left w:val="nil"/>
            </w:tcBorders>
            <w:shd w:val="clear" w:color="auto" w:fill="F2F2F2" w:themeFill="background1" w:themeFillShade="F2"/>
          </w:tcPr>
          <w:p w14:paraId="4302EE6C" w14:textId="77777777" w:rsidR="00123C5D" w:rsidRPr="00123C5D" w:rsidRDefault="00123C5D" w:rsidP="004E4576">
            <w:pPr>
              <w:pStyle w:val="TableX"/>
              <w:jc w:val="right"/>
              <w:cnfStyle w:val="000000100000" w:firstRow="0" w:lastRow="0" w:firstColumn="0" w:lastColumn="0" w:oddVBand="0" w:evenVBand="0" w:oddHBand="1" w:evenHBand="0" w:firstRowFirstColumn="0" w:firstRowLastColumn="0" w:lastRowFirstColumn="0" w:lastRowLastColumn="0"/>
              <w:rPr>
                <w:rFonts w:cs="Arial"/>
                <w:sz w:val="20"/>
                <w:szCs w:val="22"/>
              </w:rPr>
            </w:pPr>
            <w:r w:rsidRPr="00123C5D">
              <w:rPr>
                <w:rFonts w:cs="Arial"/>
                <w:i/>
                <w:sz w:val="20"/>
                <w:szCs w:val="22"/>
              </w:rPr>
              <w:t>before Co credits</w:t>
            </w:r>
          </w:p>
        </w:tc>
        <w:tc>
          <w:tcPr>
            <w:tcW w:w="4039" w:type="dxa"/>
            <w:shd w:val="clear" w:color="auto" w:fill="F2F2F2" w:themeFill="background1" w:themeFillShade="F2"/>
          </w:tcPr>
          <w:p w14:paraId="62816FF0" w14:textId="77777777" w:rsidR="00123C5D" w:rsidRPr="00123C5D" w:rsidRDefault="00123C5D" w:rsidP="004E4576">
            <w:pPr>
              <w:pStyle w:val="TableX"/>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b/>
                <w:sz w:val="20"/>
                <w:szCs w:val="22"/>
              </w:rPr>
              <w:t>US$2.95/lb Ni</w:t>
            </w:r>
          </w:p>
        </w:tc>
      </w:tr>
      <w:tr w:rsidR="00123C5D" w:rsidRPr="00123C5D" w14:paraId="39CF824F" w14:textId="77777777" w:rsidTr="004E4576">
        <w:tc>
          <w:tcPr>
            <w:cnfStyle w:val="001000000000" w:firstRow="0" w:lastRow="0" w:firstColumn="1" w:lastColumn="0" w:oddVBand="0" w:evenVBand="0" w:oddHBand="0" w:evenHBand="0" w:firstRowFirstColumn="0" w:firstRowLastColumn="0" w:lastRowFirstColumn="0" w:lastRowLastColumn="0"/>
            <w:tcW w:w="3537" w:type="dxa"/>
            <w:tcBorders>
              <w:right w:val="nil"/>
            </w:tcBorders>
            <w:shd w:val="clear" w:color="auto" w:fill="auto"/>
          </w:tcPr>
          <w:p w14:paraId="72EFCBE0" w14:textId="77777777" w:rsidR="00123C5D" w:rsidRPr="00123C5D" w:rsidRDefault="00123C5D" w:rsidP="004E4576">
            <w:pPr>
              <w:pStyle w:val="TableX"/>
              <w:jc w:val="left"/>
              <w:rPr>
                <w:rFonts w:cs="Arial"/>
                <w:bCs w:val="0"/>
                <w:sz w:val="20"/>
                <w:szCs w:val="22"/>
              </w:rPr>
            </w:pPr>
          </w:p>
        </w:tc>
        <w:tc>
          <w:tcPr>
            <w:tcW w:w="1859" w:type="dxa"/>
            <w:gridSpan w:val="2"/>
            <w:tcBorders>
              <w:left w:val="nil"/>
            </w:tcBorders>
            <w:shd w:val="clear" w:color="auto" w:fill="auto"/>
          </w:tcPr>
          <w:p w14:paraId="746D4602" w14:textId="77777777" w:rsidR="00123C5D" w:rsidRPr="00123C5D" w:rsidRDefault="00123C5D" w:rsidP="004E4576">
            <w:pPr>
              <w:pStyle w:val="TableX"/>
              <w:jc w:val="right"/>
              <w:cnfStyle w:val="000000000000" w:firstRow="0" w:lastRow="0" w:firstColumn="0" w:lastColumn="0" w:oddVBand="0" w:evenVBand="0" w:oddHBand="0" w:evenHBand="0" w:firstRowFirstColumn="0" w:firstRowLastColumn="0" w:lastRowFirstColumn="0" w:lastRowLastColumn="0"/>
              <w:rPr>
                <w:rFonts w:cs="Arial"/>
                <w:sz w:val="20"/>
                <w:szCs w:val="22"/>
              </w:rPr>
            </w:pPr>
            <w:r w:rsidRPr="00123C5D">
              <w:rPr>
                <w:rFonts w:cs="Arial"/>
                <w:i/>
                <w:sz w:val="20"/>
                <w:szCs w:val="22"/>
              </w:rPr>
              <w:t>after Co credits</w:t>
            </w:r>
          </w:p>
        </w:tc>
        <w:tc>
          <w:tcPr>
            <w:tcW w:w="4039" w:type="dxa"/>
            <w:shd w:val="clear" w:color="auto" w:fill="auto"/>
          </w:tcPr>
          <w:p w14:paraId="1F23C1D3" w14:textId="77777777" w:rsidR="00123C5D" w:rsidRPr="00123C5D" w:rsidRDefault="00123C5D" w:rsidP="004E4576">
            <w:pPr>
              <w:pStyle w:val="TableX"/>
              <w:cnfStyle w:val="000000000000" w:firstRow="0" w:lastRow="0" w:firstColumn="0" w:lastColumn="0" w:oddVBand="0" w:evenVBand="0" w:oddHBand="0" w:evenHBand="0" w:firstRowFirstColumn="0" w:firstRowLastColumn="0" w:lastRowFirstColumn="0" w:lastRowLastColumn="0"/>
              <w:rPr>
                <w:rFonts w:cs="Arial"/>
                <w:b/>
                <w:sz w:val="20"/>
                <w:szCs w:val="22"/>
              </w:rPr>
            </w:pPr>
            <w:r w:rsidRPr="00123C5D">
              <w:rPr>
                <w:rFonts w:cs="Arial"/>
                <w:b/>
                <w:sz w:val="20"/>
                <w:szCs w:val="22"/>
              </w:rPr>
              <w:t>US$0.90/lb Ni</w:t>
            </w:r>
          </w:p>
        </w:tc>
      </w:tr>
      <w:tr w:rsidR="00123C5D" w:rsidRPr="00123C5D" w14:paraId="768F6326" w14:textId="77777777" w:rsidTr="004E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6" w:type="dxa"/>
            <w:gridSpan w:val="3"/>
          </w:tcPr>
          <w:p w14:paraId="68C6F58D" w14:textId="77777777" w:rsidR="00123C5D" w:rsidRPr="00123C5D" w:rsidRDefault="00123C5D" w:rsidP="004E4576">
            <w:pPr>
              <w:pStyle w:val="TableX"/>
              <w:jc w:val="left"/>
              <w:rPr>
                <w:rFonts w:cs="Arial"/>
                <w:b w:val="0"/>
                <w:sz w:val="20"/>
                <w:szCs w:val="22"/>
              </w:rPr>
            </w:pPr>
            <w:r w:rsidRPr="00123C5D">
              <w:rPr>
                <w:rFonts w:cs="Arial"/>
                <w:b w:val="0"/>
                <w:sz w:val="20"/>
                <w:szCs w:val="22"/>
              </w:rPr>
              <w:t>Net Present Value (NPV</w:t>
            </w:r>
            <w:r w:rsidRPr="00123C5D">
              <w:rPr>
                <w:rFonts w:cs="Arial"/>
                <w:b w:val="0"/>
                <w:sz w:val="20"/>
                <w:szCs w:val="22"/>
                <w:vertAlign w:val="subscript"/>
              </w:rPr>
              <w:t>8</w:t>
            </w:r>
            <w:r w:rsidRPr="00123C5D">
              <w:rPr>
                <w:rFonts w:cs="Arial"/>
                <w:b w:val="0"/>
                <w:sz w:val="20"/>
                <w:szCs w:val="22"/>
              </w:rPr>
              <w:t>) – post tax</w:t>
            </w:r>
            <w:r w:rsidRPr="00123C5D">
              <w:rPr>
                <w:rFonts w:cs="Arial"/>
                <w:b w:val="0"/>
                <w:sz w:val="20"/>
                <w:szCs w:val="22"/>
                <w:vertAlign w:val="superscript"/>
              </w:rPr>
              <w:t>6</w:t>
            </w:r>
          </w:p>
        </w:tc>
        <w:tc>
          <w:tcPr>
            <w:tcW w:w="4039" w:type="dxa"/>
          </w:tcPr>
          <w:p w14:paraId="33C70ECB" w14:textId="77777777" w:rsidR="00123C5D" w:rsidRPr="00123C5D" w:rsidRDefault="00123C5D" w:rsidP="004E4576">
            <w:pPr>
              <w:pStyle w:val="TableX"/>
              <w:cnfStyle w:val="000000100000" w:firstRow="0" w:lastRow="0" w:firstColumn="0" w:lastColumn="0" w:oddVBand="0" w:evenVBand="0" w:oddHBand="1" w:evenHBand="0" w:firstRowFirstColumn="0" w:firstRowLastColumn="0" w:lastRowFirstColumn="0" w:lastRowLastColumn="0"/>
              <w:rPr>
                <w:rFonts w:cs="Arial"/>
                <w:b/>
                <w:sz w:val="20"/>
                <w:szCs w:val="22"/>
              </w:rPr>
            </w:pPr>
            <w:r w:rsidRPr="00123C5D">
              <w:rPr>
                <w:rFonts w:cs="Arial"/>
                <w:b/>
                <w:sz w:val="20"/>
                <w:szCs w:val="22"/>
              </w:rPr>
              <w:t>US$891M</w:t>
            </w:r>
          </w:p>
        </w:tc>
      </w:tr>
      <w:tr w:rsidR="00123C5D" w:rsidRPr="00123C5D" w14:paraId="7847B9F4" w14:textId="77777777" w:rsidTr="004E4576">
        <w:tc>
          <w:tcPr>
            <w:cnfStyle w:val="001000000000" w:firstRow="0" w:lastRow="0" w:firstColumn="1" w:lastColumn="0" w:oddVBand="0" w:evenVBand="0" w:oddHBand="0" w:evenHBand="0" w:firstRowFirstColumn="0" w:firstRowLastColumn="0" w:lastRowFirstColumn="0" w:lastRowLastColumn="0"/>
            <w:tcW w:w="5396" w:type="dxa"/>
            <w:gridSpan w:val="3"/>
          </w:tcPr>
          <w:p w14:paraId="75DBAE19" w14:textId="77777777" w:rsidR="00123C5D" w:rsidRPr="00123C5D" w:rsidRDefault="00123C5D" w:rsidP="004E4576">
            <w:pPr>
              <w:pStyle w:val="TableX"/>
              <w:jc w:val="left"/>
              <w:rPr>
                <w:rFonts w:cs="Arial"/>
                <w:b w:val="0"/>
                <w:sz w:val="20"/>
                <w:szCs w:val="22"/>
              </w:rPr>
            </w:pPr>
            <w:r w:rsidRPr="00123C5D">
              <w:rPr>
                <w:rFonts w:cs="Arial"/>
                <w:b w:val="0"/>
                <w:sz w:val="20"/>
                <w:szCs w:val="22"/>
              </w:rPr>
              <w:t xml:space="preserve">Internal Rate of Return (IRR) – post tax </w:t>
            </w:r>
          </w:p>
        </w:tc>
        <w:tc>
          <w:tcPr>
            <w:tcW w:w="4039" w:type="dxa"/>
          </w:tcPr>
          <w:p w14:paraId="07B2FAAF" w14:textId="77777777" w:rsidR="00123C5D" w:rsidRPr="00123C5D" w:rsidRDefault="00123C5D" w:rsidP="004E4576">
            <w:pPr>
              <w:pStyle w:val="TableX"/>
              <w:cnfStyle w:val="000000000000" w:firstRow="0" w:lastRow="0" w:firstColumn="0" w:lastColumn="0" w:oddVBand="0" w:evenVBand="0" w:oddHBand="0" w:evenHBand="0" w:firstRowFirstColumn="0" w:firstRowLastColumn="0" w:lastRowFirstColumn="0" w:lastRowLastColumn="0"/>
              <w:rPr>
                <w:rFonts w:cs="Arial"/>
                <w:b/>
                <w:sz w:val="20"/>
                <w:szCs w:val="22"/>
              </w:rPr>
            </w:pPr>
            <w:r w:rsidRPr="00123C5D">
              <w:rPr>
                <w:rFonts w:cs="Arial"/>
                <w:b/>
                <w:sz w:val="20"/>
                <w:szCs w:val="22"/>
              </w:rPr>
              <w:t>25%</w:t>
            </w:r>
          </w:p>
        </w:tc>
      </w:tr>
    </w:tbl>
    <w:p w14:paraId="72B5B030" w14:textId="77777777" w:rsidR="00123C5D" w:rsidRPr="00FA196A" w:rsidRDefault="00123C5D" w:rsidP="00123C5D">
      <w:pPr>
        <w:spacing w:after="0" w:line="240" w:lineRule="auto"/>
        <w:rPr>
          <w:i/>
          <w:sz w:val="16"/>
          <w:szCs w:val="16"/>
        </w:rPr>
      </w:pPr>
      <w:r>
        <w:rPr>
          <w:i/>
          <w:sz w:val="16"/>
          <w:szCs w:val="16"/>
        </w:rPr>
        <w:t>1</w:t>
      </w:r>
      <w:r w:rsidRPr="00FA196A">
        <w:rPr>
          <w:i/>
          <w:sz w:val="16"/>
          <w:szCs w:val="16"/>
        </w:rPr>
        <w:t xml:space="preserve"> </w:t>
      </w:r>
      <w:r>
        <w:rPr>
          <w:i/>
          <w:sz w:val="16"/>
          <w:szCs w:val="16"/>
        </w:rPr>
        <w:t>Designed processing throughput</w:t>
      </w:r>
      <w:r w:rsidRPr="00FA196A">
        <w:rPr>
          <w:i/>
          <w:sz w:val="16"/>
          <w:szCs w:val="16"/>
        </w:rPr>
        <w:t xml:space="preserve"> rate following a 24-month </w:t>
      </w:r>
      <w:r>
        <w:rPr>
          <w:i/>
          <w:sz w:val="16"/>
          <w:szCs w:val="16"/>
        </w:rPr>
        <w:t xml:space="preserve">commissioning and </w:t>
      </w:r>
      <w:r w:rsidRPr="00FA196A">
        <w:rPr>
          <w:i/>
          <w:sz w:val="16"/>
          <w:szCs w:val="16"/>
        </w:rPr>
        <w:t>ramp up period.</w:t>
      </w:r>
    </w:p>
    <w:p w14:paraId="3F3506AA" w14:textId="77777777" w:rsidR="00123C5D" w:rsidRDefault="00123C5D" w:rsidP="00123C5D">
      <w:pPr>
        <w:spacing w:after="0" w:line="240" w:lineRule="auto"/>
        <w:rPr>
          <w:i/>
          <w:sz w:val="16"/>
          <w:szCs w:val="16"/>
        </w:rPr>
      </w:pPr>
      <w:r>
        <w:rPr>
          <w:i/>
          <w:sz w:val="16"/>
          <w:szCs w:val="16"/>
        </w:rPr>
        <w:t>2</w:t>
      </w:r>
      <w:r w:rsidRPr="00FA196A">
        <w:rPr>
          <w:i/>
          <w:sz w:val="16"/>
          <w:szCs w:val="16"/>
        </w:rPr>
        <w:t xml:space="preserve"> Includes pit selection, dilution and mining factors applied</w:t>
      </w:r>
    </w:p>
    <w:p w14:paraId="704D90E1" w14:textId="77777777" w:rsidR="00123C5D" w:rsidRPr="00FA196A" w:rsidRDefault="00123C5D" w:rsidP="00123C5D">
      <w:pPr>
        <w:spacing w:after="0" w:line="240" w:lineRule="auto"/>
        <w:rPr>
          <w:i/>
          <w:sz w:val="16"/>
          <w:szCs w:val="16"/>
        </w:rPr>
      </w:pPr>
      <w:r>
        <w:rPr>
          <w:i/>
          <w:sz w:val="16"/>
          <w:szCs w:val="16"/>
        </w:rPr>
        <w:t xml:space="preserve">3 Based on bank/broker long-term consensus market pricing for metal content only.  Does not account for or include </w:t>
      </w:r>
      <w:r w:rsidRPr="00732090">
        <w:rPr>
          <w:i/>
          <w:sz w:val="16"/>
          <w:szCs w:val="16"/>
        </w:rPr>
        <w:t>sulphate product premium</w:t>
      </w:r>
      <w:r>
        <w:rPr>
          <w:i/>
          <w:sz w:val="16"/>
          <w:szCs w:val="16"/>
        </w:rPr>
        <w:t>s that are typically paid in the market to produce battery-grade nickel and cobalt sulphate.</w:t>
      </w:r>
    </w:p>
    <w:p w14:paraId="6ABC01DE" w14:textId="77777777" w:rsidR="00123C5D" w:rsidRPr="00FA196A" w:rsidRDefault="00123C5D" w:rsidP="00123C5D">
      <w:pPr>
        <w:spacing w:after="0" w:line="240" w:lineRule="auto"/>
        <w:rPr>
          <w:i/>
          <w:sz w:val="16"/>
          <w:szCs w:val="16"/>
        </w:rPr>
      </w:pPr>
      <w:r>
        <w:rPr>
          <w:i/>
          <w:sz w:val="16"/>
          <w:szCs w:val="16"/>
        </w:rPr>
        <w:t>4</w:t>
      </w:r>
      <w:r w:rsidRPr="00FA196A">
        <w:rPr>
          <w:i/>
          <w:sz w:val="16"/>
          <w:szCs w:val="16"/>
        </w:rPr>
        <w:t xml:space="preserve"> </w:t>
      </w:r>
      <w:r w:rsidRPr="00CE778F">
        <w:rPr>
          <w:i/>
          <w:sz w:val="16"/>
          <w:szCs w:val="16"/>
        </w:rPr>
        <w:t>Includes a US$</w:t>
      </w:r>
      <w:r w:rsidRPr="00135160">
        <w:rPr>
          <w:i/>
          <w:sz w:val="16"/>
          <w:szCs w:val="16"/>
        </w:rPr>
        <w:t>62</w:t>
      </w:r>
      <w:r w:rsidRPr="00CE778F">
        <w:rPr>
          <w:i/>
          <w:sz w:val="16"/>
          <w:szCs w:val="16"/>
        </w:rPr>
        <w:t>M (A$</w:t>
      </w:r>
      <w:r w:rsidRPr="00135160">
        <w:rPr>
          <w:i/>
          <w:sz w:val="16"/>
          <w:szCs w:val="16"/>
        </w:rPr>
        <w:t>83</w:t>
      </w:r>
      <w:r w:rsidRPr="00CE778F">
        <w:rPr>
          <w:i/>
          <w:sz w:val="16"/>
          <w:szCs w:val="16"/>
        </w:rPr>
        <w:t>M) contingency</w:t>
      </w:r>
      <w:r w:rsidRPr="00FA196A">
        <w:rPr>
          <w:i/>
          <w:sz w:val="16"/>
          <w:szCs w:val="16"/>
        </w:rPr>
        <w:t xml:space="preserve"> on capital costs</w:t>
      </w:r>
    </w:p>
    <w:p w14:paraId="49A0A4D9" w14:textId="77777777" w:rsidR="00123C5D" w:rsidRPr="00FA196A" w:rsidRDefault="00123C5D" w:rsidP="00123C5D">
      <w:pPr>
        <w:spacing w:after="0" w:line="240" w:lineRule="auto"/>
        <w:rPr>
          <w:i/>
          <w:sz w:val="16"/>
          <w:szCs w:val="16"/>
        </w:rPr>
      </w:pPr>
      <w:r>
        <w:rPr>
          <w:i/>
          <w:sz w:val="16"/>
          <w:szCs w:val="16"/>
        </w:rPr>
        <w:t>5</w:t>
      </w:r>
      <w:r w:rsidRPr="00FA196A">
        <w:rPr>
          <w:i/>
          <w:sz w:val="16"/>
          <w:szCs w:val="16"/>
        </w:rPr>
        <w:t xml:space="preserve"> C1 cash cost </w:t>
      </w:r>
      <w:r>
        <w:rPr>
          <w:i/>
          <w:sz w:val="16"/>
          <w:szCs w:val="16"/>
        </w:rPr>
        <w:t>excludes</w:t>
      </w:r>
      <w:r w:rsidRPr="00FA196A">
        <w:rPr>
          <w:i/>
          <w:sz w:val="16"/>
          <w:szCs w:val="16"/>
        </w:rPr>
        <w:t xml:space="preserve"> potential by-product revenue from scandium oxide sales</w:t>
      </w:r>
      <w:r>
        <w:rPr>
          <w:i/>
          <w:sz w:val="16"/>
          <w:szCs w:val="16"/>
        </w:rPr>
        <w:t xml:space="preserve"> and</w:t>
      </w:r>
      <w:r w:rsidRPr="00FA196A">
        <w:rPr>
          <w:i/>
          <w:sz w:val="16"/>
          <w:szCs w:val="16"/>
        </w:rPr>
        <w:t xml:space="preserve"> royalties</w:t>
      </w:r>
    </w:p>
    <w:p w14:paraId="32E0F4B2" w14:textId="77777777" w:rsidR="00123C5D" w:rsidRDefault="00123C5D" w:rsidP="00123C5D">
      <w:pPr>
        <w:spacing w:after="0" w:line="240" w:lineRule="auto"/>
        <w:rPr>
          <w:i/>
          <w:sz w:val="16"/>
          <w:szCs w:val="16"/>
        </w:rPr>
      </w:pPr>
      <w:r>
        <w:rPr>
          <w:i/>
          <w:sz w:val="16"/>
          <w:szCs w:val="16"/>
        </w:rPr>
        <w:t>6</w:t>
      </w:r>
      <w:r w:rsidRPr="00FA196A">
        <w:rPr>
          <w:i/>
          <w:sz w:val="16"/>
          <w:szCs w:val="16"/>
        </w:rPr>
        <w:t xml:space="preserve"> Post tax, 8% discount, 100% equity, real terms</w:t>
      </w:r>
    </w:p>
    <w:p w14:paraId="7B181EA9" w14:textId="77777777" w:rsidR="00123C5D" w:rsidRDefault="00123C5D" w:rsidP="00123C5D"/>
    <w:p w14:paraId="675D3CF7" w14:textId="77777777" w:rsidR="00EA3E15" w:rsidRDefault="00123C5D" w:rsidP="00123C5D">
      <w:r>
        <w:t xml:space="preserve">The economic factors determined as part of the </w:t>
      </w:r>
      <w:r w:rsidR="00B44E49">
        <w:t>PFS</w:t>
      </w:r>
      <w:r>
        <w:t xml:space="preserve"> were used by Inmett Projects to estimate Proved and Probable Ore Reserves for the Project</w:t>
      </w:r>
      <w:r w:rsidR="00EA3E15">
        <w:t xml:space="preserve"> (for full details see the ASX announcement of 5 October 2016)</w:t>
      </w:r>
      <w:r>
        <w:t>.</w:t>
      </w:r>
      <w:r w:rsidR="00EA3E15">
        <w:t xml:space="preserve">  The table below details the Syerston Nickel and Cobalt Proved and Probable Ore Reserves.</w:t>
      </w:r>
    </w:p>
    <w:p w14:paraId="7EF8CE6E" w14:textId="77777777" w:rsidR="00123C5D" w:rsidRDefault="00123C5D" w:rsidP="00123C5D">
      <w:r>
        <w:t xml:space="preserve">  </w:t>
      </w:r>
    </w:p>
    <w:p w14:paraId="2A145816" w14:textId="77777777" w:rsidR="00123C5D" w:rsidRPr="00123C5D" w:rsidRDefault="00123C5D" w:rsidP="00123C5D">
      <w:pPr>
        <w:pStyle w:val="Caption"/>
      </w:pPr>
      <w:r w:rsidRPr="00123C5D">
        <w:t>Syerston Nickel and Cobalt Ore Reserves</w:t>
      </w:r>
    </w:p>
    <w:tbl>
      <w:tblPr>
        <w:tblStyle w:val="GridTable4-Accent31"/>
        <w:tblW w:w="3189" w:type="pct"/>
        <w:tblLook w:val="04A0" w:firstRow="1" w:lastRow="0" w:firstColumn="1" w:lastColumn="0" w:noHBand="0" w:noVBand="1"/>
      </w:tblPr>
      <w:tblGrid>
        <w:gridCol w:w="1806"/>
        <w:gridCol w:w="1497"/>
        <w:gridCol w:w="1296"/>
        <w:gridCol w:w="1296"/>
      </w:tblGrid>
      <w:tr w:rsidR="00123C5D" w:rsidRPr="00123C5D" w14:paraId="4B8A24CA" w14:textId="77777777" w:rsidTr="004E4576">
        <w:trPr>
          <w:cnfStyle w:val="100000000000" w:firstRow="1" w:lastRow="0" w:firstColumn="0" w:lastColumn="0" w:oddVBand="0" w:evenVBand="0" w:oddHBand="0" w:evenHBand="0" w:firstRowFirstColumn="0" w:firstRowLastColumn="0" w:lastRowFirstColumn="0" w:lastRowLastColumn="0"/>
          <w:trHeight w:hRule="exact" w:val="579"/>
        </w:trPr>
        <w:tc>
          <w:tcPr>
            <w:cnfStyle w:val="001000000000" w:firstRow="0" w:lastRow="0" w:firstColumn="1" w:lastColumn="0" w:oddVBand="0" w:evenVBand="0" w:oddHBand="0" w:evenHBand="0" w:firstRowFirstColumn="0" w:firstRowLastColumn="0" w:lastRowFirstColumn="0" w:lastRowLastColumn="0"/>
            <w:tcW w:w="1532" w:type="pct"/>
            <w:vAlign w:val="center"/>
          </w:tcPr>
          <w:p w14:paraId="6983FCDC" w14:textId="77777777" w:rsidR="00123C5D" w:rsidRPr="00123C5D" w:rsidRDefault="00123C5D" w:rsidP="004E4576">
            <w:pPr>
              <w:keepNext/>
              <w:spacing w:after="0" w:line="240" w:lineRule="auto"/>
              <w:jc w:val="center"/>
              <w:rPr>
                <w:rFonts w:cs="Arial"/>
                <w:bCs w:val="0"/>
                <w:color w:val="FFFFFF"/>
              </w:rPr>
            </w:pPr>
            <w:r w:rsidRPr="00123C5D">
              <w:rPr>
                <w:rFonts w:cs="Arial"/>
                <w:bCs w:val="0"/>
                <w:color w:val="FFFFFF"/>
              </w:rPr>
              <w:t>Classification</w:t>
            </w:r>
          </w:p>
          <w:p w14:paraId="07887EF5" w14:textId="77777777" w:rsidR="00123C5D" w:rsidRPr="00123C5D" w:rsidRDefault="00123C5D" w:rsidP="004E4576">
            <w:pPr>
              <w:keepNext/>
              <w:spacing w:after="0" w:line="240" w:lineRule="auto"/>
              <w:jc w:val="center"/>
              <w:rPr>
                <w:rFonts w:cs="Arial"/>
                <w:bCs w:val="0"/>
                <w:color w:val="FFFFFF"/>
              </w:rPr>
            </w:pPr>
            <w:r w:rsidRPr="00123C5D">
              <w:rPr>
                <w:rFonts w:cs="Arial"/>
                <w:bCs w:val="0"/>
                <w:color w:val="FFFFFF"/>
              </w:rPr>
              <w:t>Category</w:t>
            </w:r>
          </w:p>
        </w:tc>
        <w:tc>
          <w:tcPr>
            <w:tcW w:w="1270" w:type="pct"/>
            <w:vAlign w:val="center"/>
          </w:tcPr>
          <w:p w14:paraId="1A7B3A39" w14:textId="77777777" w:rsidR="00123C5D" w:rsidRPr="00123C5D" w:rsidRDefault="00123C5D" w:rsidP="004E457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rPr>
            </w:pPr>
            <w:r w:rsidRPr="00123C5D">
              <w:rPr>
                <w:rFonts w:cs="Arial"/>
                <w:bCs w:val="0"/>
                <w:color w:val="FFFFFF"/>
              </w:rPr>
              <w:t>Tonnage,</w:t>
            </w:r>
            <w:r w:rsidRPr="00123C5D">
              <w:rPr>
                <w:rFonts w:cs="Arial"/>
                <w:bCs w:val="0"/>
                <w:color w:val="FFFFFF"/>
              </w:rPr>
              <w:br/>
              <w:t>kt</w:t>
            </w:r>
          </w:p>
        </w:tc>
        <w:tc>
          <w:tcPr>
            <w:tcW w:w="1099" w:type="pct"/>
            <w:vAlign w:val="center"/>
          </w:tcPr>
          <w:p w14:paraId="04755F8C" w14:textId="77777777" w:rsidR="00123C5D" w:rsidRPr="00123C5D" w:rsidRDefault="00123C5D" w:rsidP="004E457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rPr>
            </w:pPr>
            <w:r w:rsidRPr="00123C5D">
              <w:rPr>
                <w:rFonts w:cs="Arial"/>
                <w:bCs w:val="0"/>
                <w:color w:val="FFFFFF"/>
              </w:rPr>
              <w:t>Ni Grade,</w:t>
            </w:r>
          </w:p>
          <w:p w14:paraId="25DF323C" w14:textId="77777777" w:rsidR="00123C5D" w:rsidRPr="00123C5D" w:rsidRDefault="00123C5D" w:rsidP="004E457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rPr>
            </w:pPr>
            <w:r w:rsidRPr="00123C5D">
              <w:rPr>
                <w:rFonts w:cs="Arial"/>
                <w:bCs w:val="0"/>
                <w:color w:val="FFFFFF"/>
              </w:rPr>
              <w:t>%</w:t>
            </w:r>
          </w:p>
        </w:tc>
        <w:tc>
          <w:tcPr>
            <w:tcW w:w="1099" w:type="pct"/>
            <w:vAlign w:val="center"/>
          </w:tcPr>
          <w:p w14:paraId="7E97005C" w14:textId="77777777" w:rsidR="00123C5D" w:rsidRPr="00123C5D" w:rsidRDefault="00123C5D" w:rsidP="004E457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rPr>
            </w:pPr>
            <w:r w:rsidRPr="00123C5D">
              <w:rPr>
                <w:rFonts w:cs="Arial"/>
                <w:bCs w:val="0"/>
                <w:color w:val="FFFFFF"/>
              </w:rPr>
              <w:t>Co Grade,</w:t>
            </w:r>
          </w:p>
          <w:p w14:paraId="01F5BE17" w14:textId="77777777" w:rsidR="00123C5D" w:rsidRPr="00123C5D" w:rsidRDefault="00123C5D" w:rsidP="004E457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FFFFFF"/>
              </w:rPr>
            </w:pPr>
            <w:r w:rsidRPr="00123C5D">
              <w:rPr>
                <w:rFonts w:cs="Arial"/>
                <w:bCs w:val="0"/>
                <w:color w:val="FFFFFF"/>
              </w:rPr>
              <w:t>%</w:t>
            </w:r>
          </w:p>
        </w:tc>
      </w:tr>
      <w:tr w:rsidR="00123C5D" w:rsidRPr="00123C5D" w14:paraId="0334923E" w14:textId="77777777" w:rsidTr="004E457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32" w:type="pct"/>
          </w:tcPr>
          <w:p w14:paraId="0DB22837" w14:textId="77777777" w:rsidR="00123C5D" w:rsidRPr="00123C5D" w:rsidRDefault="00123C5D" w:rsidP="004E4576">
            <w:pPr>
              <w:spacing w:after="0" w:line="240" w:lineRule="auto"/>
              <w:jc w:val="center"/>
              <w:rPr>
                <w:b w:val="0"/>
              </w:rPr>
            </w:pPr>
            <w:r w:rsidRPr="00123C5D">
              <w:rPr>
                <w:b w:val="0"/>
              </w:rPr>
              <w:t>Proved</w:t>
            </w:r>
          </w:p>
        </w:tc>
        <w:tc>
          <w:tcPr>
            <w:tcW w:w="1270" w:type="pct"/>
          </w:tcPr>
          <w:p w14:paraId="06BD6D66" w14:textId="77777777" w:rsidR="00123C5D" w:rsidRPr="00123C5D" w:rsidRDefault="00123C5D" w:rsidP="004E457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123C5D">
              <w:t>54,930</w:t>
            </w:r>
          </w:p>
        </w:tc>
        <w:tc>
          <w:tcPr>
            <w:tcW w:w="1099" w:type="pct"/>
          </w:tcPr>
          <w:p w14:paraId="2C1A8400" w14:textId="77777777" w:rsidR="00123C5D" w:rsidRPr="00123C5D" w:rsidRDefault="00123C5D" w:rsidP="004E457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123C5D">
              <w:t>0.71</w:t>
            </w:r>
          </w:p>
        </w:tc>
        <w:tc>
          <w:tcPr>
            <w:tcW w:w="1099" w:type="pct"/>
          </w:tcPr>
          <w:p w14:paraId="1046B258" w14:textId="77777777" w:rsidR="00123C5D" w:rsidRPr="00123C5D" w:rsidRDefault="00123C5D" w:rsidP="004E4576">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123C5D">
              <w:t>0.10</w:t>
            </w:r>
          </w:p>
        </w:tc>
      </w:tr>
      <w:tr w:rsidR="00123C5D" w:rsidRPr="00123C5D" w14:paraId="5A6335DC" w14:textId="77777777" w:rsidTr="004E4576">
        <w:trPr>
          <w:trHeight w:val="291"/>
        </w:trPr>
        <w:tc>
          <w:tcPr>
            <w:cnfStyle w:val="001000000000" w:firstRow="0" w:lastRow="0" w:firstColumn="1" w:lastColumn="0" w:oddVBand="0" w:evenVBand="0" w:oddHBand="0" w:evenHBand="0" w:firstRowFirstColumn="0" w:firstRowLastColumn="0" w:lastRowFirstColumn="0" w:lastRowLastColumn="0"/>
            <w:tcW w:w="1532" w:type="pct"/>
          </w:tcPr>
          <w:p w14:paraId="12DB17D0" w14:textId="77777777" w:rsidR="00123C5D" w:rsidRPr="00123C5D" w:rsidRDefault="00123C5D" w:rsidP="004E4576">
            <w:pPr>
              <w:spacing w:after="0" w:line="240" w:lineRule="auto"/>
              <w:jc w:val="center"/>
              <w:rPr>
                <w:b w:val="0"/>
              </w:rPr>
            </w:pPr>
            <w:r w:rsidRPr="00123C5D">
              <w:rPr>
                <w:b w:val="0"/>
              </w:rPr>
              <w:t>Probable</w:t>
            </w:r>
          </w:p>
        </w:tc>
        <w:tc>
          <w:tcPr>
            <w:tcW w:w="1270" w:type="pct"/>
          </w:tcPr>
          <w:p w14:paraId="7A2D3E62" w14:textId="77777777" w:rsidR="00123C5D" w:rsidRPr="00123C5D" w:rsidRDefault="00123C5D" w:rsidP="004E457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123C5D">
              <w:t>41,263</w:t>
            </w:r>
          </w:p>
        </w:tc>
        <w:tc>
          <w:tcPr>
            <w:tcW w:w="1099" w:type="pct"/>
          </w:tcPr>
          <w:p w14:paraId="34BF32CF" w14:textId="77777777" w:rsidR="00123C5D" w:rsidRPr="00123C5D" w:rsidRDefault="00123C5D" w:rsidP="004E457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123C5D">
              <w:t>0.58</w:t>
            </w:r>
          </w:p>
        </w:tc>
        <w:tc>
          <w:tcPr>
            <w:tcW w:w="1099" w:type="pct"/>
          </w:tcPr>
          <w:p w14:paraId="260CF6C2" w14:textId="77777777" w:rsidR="00123C5D" w:rsidRPr="00123C5D" w:rsidRDefault="00123C5D" w:rsidP="004E4576">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123C5D">
              <w:t>0.10</w:t>
            </w:r>
          </w:p>
        </w:tc>
      </w:tr>
      <w:tr w:rsidR="00123C5D" w:rsidRPr="00123C5D" w14:paraId="54DBE489" w14:textId="77777777" w:rsidTr="004E457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32" w:type="pct"/>
          </w:tcPr>
          <w:p w14:paraId="2B161A68" w14:textId="77777777" w:rsidR="00123C5D" w:rsidRPr="00123C5D" w:rsidRDefault="00123C5D" w:rsidP="004E4576">
            <w:pPr>
              <w:spacing w:after="0" w:line="240" w:lineRule="auto"/>
              <w:jc w:val="center"/>
            </w:pPr>
            <w:r w:rsidRPr="00123C5D">
              <w:t>Total</w:t>
            </w:r>
          </w:p>
        </w:tc>
        <w:tc>
          <w:tcPr>
            <w:tcW w:w="1270" w:type="pct"/>
          </w:tcPr>
          <w:p w14:paraId="09FFC753" w14:textId="77777777" w:rsidR="00123C5D" w:rsidRPr="00123C5D" w:rsidRDefault="00123C5D" w:rsidP="004E4576">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123C5D">
              <w:rPr>
                <w:b/>
              </w:rPr>
              <w:t>96,193</w:t>
            </w:r>
          </w:p>
        </w:tc>
        <w:tc>
          <w:tcPr>
            <w:tcW w:w="1099" w:type="pct"/>
          </w:tcPr>
          <w:p w14:paraId="348E6FD4" w14:textId="77777777" w:rsidR="00123C5D" w:rsidRPr="00123C5D" w:rsidRDefault="00123C5D" w:rsidP="004E4576">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123C5D">
              <w:rPr>
                <w:b/>
              </w:rPr>
              <w:t>0.65</w:t>
            </w:r>
          </w:p>
        </w:tc>
        <w:tc>
          <w:tcPr>
            <w:tcW w:w="1099" w:type="pct"/>
          </w:tcPr>
          <w:p w14:paraId="5764E617" w14:textId="77777777" w:rsidR="00123C5D" w:rsidRPr="00123C5D" w:rsidRDefault="00123C5D" w:rsidP="004E4576">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123C5D">
              <w:rPr>
                <w:b/>
              </w:rPr>
              <w:t>0.10</w:t>
            </w:r>
          </w:p>
        </w:tc>
      </w:tr>
    </w:tbl>
    <w:p w14:paraId="12DB2FFE" w14:textId="77777777" w:rsidR="00123C5D" w:rsidRDefault="00123C5D" w:rsidP="00123C5D">
      <w:pPr>
        <w:ind w:left="1440" w:firstLine="720"/>
        <w:rPr>
          <w:lang w:val="en"/>
        </w:rPr>
      </w:pPr>
      <w:r w:rsidRPr="00123C5D">
        <w:rPr>
          <w:i/>
          <w:sz w:val="16"/>
        </w:rPr>
        <w:t>* Ore Reserve is reported as Autoclave Feed tonnes.</w:t>
      </w:r>
    </w:p>
    <w:p w14:paraId="7DCCDD0A" w14:textId="77777777" w:rsidR="00F817BE" w:rsidRDefault="00F817BE" w:rsidP="00F817BE">
      <w:pPr>
        <w:rPr>
          <w:lang w:val="en"/>
        </w:rPr>
      </w:pPr>
    </w:p>
    <w:p w14:paraId="3748CA8F" w14:textId="77777777" w:rsidR="007D2A74" w:rsidRDefault="00F817BE" w:rsidP="00123C5D">
      <w:pPr>
        <w:rPr>
          <w:lang w:val="en"/>
        </w:rPr>
      </w:pPr>
      <w:r>
        <w:rPr>
          <w:lang w:val="en"/>
        </w:rPr>
        <w:t>The large-scale nickel/cobalt resource assessed through the PFS also hosts significant quantities of scandium oxide.  G</w:t>
      </w:r>
      <w:r w:rsidRPr="002A6387">
        <w:rPr>
          <w:lang w:val="en"/>
        </w:rPr>
        <w:t xml:space="preserve">iven the scandium market is still developing, the PFS </w:t>
      </w:r>
      <w:r>
        <w:rPr>
          <w:lang w:val="en"/>
        </w:rPr>
        <w:t>B</w:t>
      </w:r>
      <w:r w:rsidRPr="002A6387">
        <w:rPr>
          <w:lang w:val="en"/>
        </w:rPr>
        <w:t xml:space="preserve">ase </w:t>
      </w:r>
      <w:r>
        <w:rPr>
          <w:lang w:val="en"/>
        </w:rPr>
        <w:t xml:space="preserve">Case assumed </w:t>
      </w:r>
      <w:r w:rsidRPr="002A6387">
        <w:rPr>
          <w:lang w:val="en"/>
        </w:rPr>
        <w:t xml:space="preserve">no scandium revenue.  </w:t>
      </w:r>
      <w:r>
        <w:rPr>
          <w:lang w:val="en"/>
        </w:rPr>
        <w:t xml:space="preserve">However, scandium oxide sales provide a significant </w:t>
      </w:r>
      <w:r>
        <w:rPr>
          <w:lang w:val="en"/>
        </w:rPr>
        <w:lastRenderedPageBreak/>
        <w:t xml:space="preserve">increase in the project economics and therefore scandium recovery will be integrated into the larger flow sheet for the </w:t>
      </w:r>
      <w:r w:rsidR="00EA3E15">
        <w:rPr>
          <w:lang w:val="en"/>
        </w:rPr>
        <w:t xml:space="preserve">Bankable </w:t>
      </w:r>
      <w:r>
        <w:rPr>
          <w:lang w:val="en"/>
        </w:rPr>
        <w:t>Feasibility Study.</w:t>
      </w:r>
    </w:p>
    <w:p w14:paraId="7E8FA896" w14:textId="77777777" w:rsidR="007D2A74" w:rsidRDefault="00F817BE" w:rsidP="00123C5D">
      <w:pPr>
        <w:rPr>
          <w:lang w:val="en"/>
        </w:rPr>
      </w:pPr>
      <w:r>
        <w:rPr>
          <w:lang w:val="en"/>
        </w:rPr>
        <w:t xml:space="preserve">A </w:t>
      </w:r>
      <w:r w:rsidR="00EA3E15">
        <w:rPr>
          <w:lang w:val="en"/>
        </w:rPr>
        <w:t xml:space="preserve">Bankable </w:t>
      </w:r>
      <w:r w:rsidR="007D2A74">
        <w:rPr>
          <w:lang w:val="en"/>
        </w:rPr>
        <w:t>Feasibility Study for the project is currently underway and expected to be completed in Q4, 2017.</w:t>
      </w:r>
    </w:p>
    <w:p w14:paraId="68437E1F" w14:textId="77777777" w:rsidR="00123C5D" w:rsidRDefault="00D910C6" w:rsidP="00D910C6">
      <w:pPr>
        <w:pStyle w:val="Heading3"/>
      </w:pPr>
      <w:r>
        <w:t>Project Infrastructure</w:t>
      </w:r>
    </w:p>
    <w:p w14:paraId="004A6061" w14:textId="77777777" w:rsidR="00D910C6" w:rsidRDefault="00D910C6" w:rsidP="00D910C6">
      <w:r w:rsidRPr="00D910C6">
        <w:t xml:space="preserve">One of Syerston’s competitive advantages is its proximity to existing infrastructure.  The Project is near the Moomba-Sydney natural gas pipeline, a rail line within 20 kilometres of Syerston and bitumen roads providing good access to the site.  The major centres have excellent infrastructure including transport, airport and rail facilities, all of which are available for project requirements.  The Project and associated infrastructure are located within the Lachlan and Parkes Shires and the borefield providing water for the Project are in the Forbes Shire.  </w:t>
      </w:r>
    </w:p>
    <w:p w14:paraId="4060190B" w14:textId="77777777" w:rsidR="00D910C6" w:rsidRPr="00123C5D" w:rsidRDefault="00D910C6" w:rsidP="00D910C6">
      <w:pPr>
        <w:pStyle w:val="Heading3"/>
      </w:pPr>
      <w:r>
        <w:t>Water Borefields</w:t>
      </w:r>
    </w:p>
    <w:p w14:paraId="41AD907E" w14:textId="77777777" w:rsidR="00D910C6" w:rsidRDefault="00D910C6" w:rsidP="00D910C6">
      <w:r>
        <w:t>Water investigations undertaken by Clean TeQ, as well as the previous owners, determined that insufficient water was available in the project area to meet the historical requirement.  The closest viable source of water was the borefield near the Lachlan River, approximately 65km south of the project area. A 3.2GL p.a. water licence is currently held by the company and a borefield has been established for the project.  The water licence provides most of Syerston’s water requirements for the 2.5Mtpa operation.</w:t>
      </w:r>
    </w:p>
    <w:p w14:paraId="3A8CFD4D" w14:textId="77777777" w:rsidR="00D910C6" w:rsidRDefault="00D910C6" w:rsidP="00D910C6">
      <w:r>
        <w:t>A water pipeline will be constructed for the project, providing water from the borefields in the south to the mine site, as well as the limestone quarry.</w:t>
      </w:r>
    </w:p>
    <w:p w14:paraId="4DDE5068" w14:textId="77777777" w:rsidR="00D910C6" w:rsidRDefault="00D910C6" w:rsidP="00D910C6">
      <w:pPr>
        <w:jc w:val="center"/>
        <w:rPr>
          <w:rFonts w:ascii="robotocondensed-light-webfont" w:hAnsi="robotocondensed-light-webfont"/>
          <w:color w:val="6F6F6E"/>
          <w:spacing w:val="4"/>
        </w:rPr>
      </w:pPr>
      <w:r>
        <w:rPr>
          <w:rFonts w:ascii="robotocondensed-light-webfont" w:hAnsi="robotocondensed-light-webfont"/>
          <w:noProof/>
          <w:color w:val="6F6F6E"/>
          <w:spacing w:val="4"/>
          <w:lang w:val="en-US"/>
        </w:rPr>
        <w:drawing>
          <wp:inline distT="0" distB="0" distL="0" distR="0" wp14:anchorId="7E322349" wp14:editId="6480A938">
            <wp:extent cx="2857500" cy="1600200"/>
            <wp:effectExtent l="0" t="0" r="0" b="0"/>
            <wp:docPr id="5" name="Picture 5" descr="20150203_1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0203_1256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4BF9306" w14:textId="77777777" w:rsidR="00D910C6" w:rsidRDefault="00D910C6" w:rsidP="00D910C6">
      <w:pPr>
        <w:pStyle w:val="Caption"/>
      </w:pPr>
      <w:r>
        <w:tab/>
        <w:t>Syerston’s Western Borefield</w:t>
      </w:r>
    </w:p>
    <w:p w14:paraId="247846F1" w14:textId="77777777" w:rsidR="00651FE6" w:rsidRDefault="00651FE6" w:rsidP="00164F21"/>
    <w:p w14:paraId="35464565" w14:textId="77777777" w:rsidR="00164F21" w:rsidRPr="00164F21" w:rsidRDefault="00164F21" w:rsidP="00164F21">
      <w:r>
        <w:t xml:space="preserve">The Project’s Borefield Environmental Management Plan can be downloaded </w:t>
      </w:r>
      <w:r w:rsidRPr="00164F21">
        <w:rPr>
          <w:highlight w:val="yellow"/>
        </w:rPr>
        <w:t>HERE</w:t>
      </w:r>
      <w:r>
        <w:t>.</w:t>
      </w:r>
    </w:p>
    <w:p w14:paraId="63E11638" w14:textId="77777777" w:rsidR="00393875" w:rsidRPr="00393875" w:rsidRDefault="00393875" w:rsidP="00393875">
      <w:pPr>
        <w:pStyle w:val="Heading3"/>
      </w:pPr>
      <w:r>
        <w:t xml:space="preserve">Resin-In-Pulp </w:t>
      </w:r>
      <w:r w:rsidR="003326AE">
        <w:t>for Nickel, Cobalt &amp; Scandium</w:t>
      </w:r>
    </w:p>
    <w:p w14:paraId="4D1E5D13" w14:textId="77777777" w:rsidR="00627A67" w:rsidRDefault="00627A67" w:rsidP="00393875">
      <w:r>
        <w:t>Between 2004 and 2008, the application of Clean TeQ’s technology for metal recovery from lateritic ores was developed in collaboration with BHP Billiton through an A$8 million i</w:t>
      </w:r>
      <w:r w:rsidR="00B44E49">
        <w:t xml:space="preserve">nvestment. Clean TeQ’s </w:t>
      </w:r>
      <w:r w:rsidR="00393875">
        <w:t xml:space="preserve">continuous </w:t>
      </w:r>
      <w:r>
        <w:t>resin-in-pulp (</w:t>
      </w:r>
      <w:r w:rsidR="00393875">
        <w:t>c</w:t>
      </w:r>
      <w:r>
        <w:t xml:space="preserve">RIP) </w:t>
      </w:r>
      <w:r w:rsidR="00B44E49">
        <w:t xml:space="preserve">and elution </w:t>
      </w:r>
      <w:r>
        <w:t>process</w:t>
      </w:r>
      <w:r w:rsidR="00B44E49">
        <w:t>es were</w:t>
      </w:r>
      <w:r>
        <w:t xml:space="preserve"> proven to extract and concentrate nickel and cobalt directly from acidic lateritic pulps at a much lower cost than conventional routes.</w:t>
      </w:r>
      <w:r w:rsidR="00393875">
        <w:t xml:space="preserve">  Uniquely, this allows the purification and production of battery grade nickel and cobalt sulphates direct at the mine site, with no further refining required.</w:t>
      </w:r>
    </w:p>
    <w:p w14:paraId="20E58FF9" w14:textId="77777777" w:rsidR="00627A67" w:rsidRDefault="00393875" w:rsidP="00393875">
      <w:r>
        <w:lastRenderedPageBreak/>
        <w:t>As a part of the</w:t>
      </w:r>
      <w:r w:rsidR="00627A67">
        <w:t xml:space="preserve"> </w:t>
      </w:r>
      <w:r w:rsidR="00B44E49">
        <w:t xml:space="preserve">current </w:t>
      </w:r>
      <w:r w:rsidR="00627A67">
        <w:t>Feasibility Study for the project, Clean TeQ is focusi</w:t>
      </w:r>
      <w:r>
        <w:t xml:space="preserve">ng on securing commitments for nickel and cobalt </w:t>
      </w:r>
      <w:r w:rsidR="00627A67">
        <w:t>offtake</w:t>
      </w:r>
      <w:r>
        <w:t>.  To enable this, Clean TeQ has operated</w:t>
      </w:r>
      <w:r w:rsidR="00627A67">
        <w:t xml:space="preserve"> a large-scale continuous pilot plant to pro</w:t>
      </w:r>
      <w:r w:rsidR="00B44E49">
        <w:t xml:space="preserve">cess Syerston material to produce </w:t>
      </w:r>
      <w:r>
        <w:t xml:space="preserve">nickel and cobalt sulphate samples for potential customers. </w:t>
      </w:r>
      <w:r w:rsidR="00627A67">
        <w:t xml:space="preserve">Additionally, this piloting work will </w:t>
      </w:r>
      <w:r>
        <w:t>provide process input data for the F</w:t>
      </w:r>
      <w:r w:rsidR="00B44E49">
        <w:t>easibility S</w:t>
      </w:r>
      <w:r w:rsidR="00627A67">
        <w:t>tudy.</w:t>
      </w:r>
    </w:p>
    <w:p w14:paraId="21D116C8" w14:textId="77777777" w:rsidR="003326AE" w:rsidRDefault="00F817BE" w:rsidP="00393875">
      <w:r>
        <w:t>D</w:t>
      </w:r>
      <w:r w:rsidR="003326AE">
        <w:t xml:space="preserve">evelopment for </w:t>
      </w:r>
      <w:r>
        <w:t>Clean-iX</w:t>
      </w:r>
      <w:r w:rsidRPr="00F817BE">
        <w:rPr>
          <w:vertAlign w:val="superscript"/>
        </w:rPr>
        <w:t>®</w:t>
      </w:r>
      <w:r w:rsidRPr="00F817BE">
        <w:t xml:space="preserve"> </w:t>
      </w:r>
      <w:r>
        <w:t>for scandium has been carried out</w:t>
      </w:r>
      <w:r w:rsidR="00D910C6">
        <w:t xml:space="preserve"> over 6 year</w:t>
      </w:r>
      <w:r>
        <w:t>s, with an initial focus on r</w:t>
      </w:r>
      <w:r w:rsidR="003326AE">
        <w:t>ecovery from titanium dioxide waste streams</w:t>
      </w:r>
      <w:r>
        <w:t>, where the majority of scandium is sourced today</w:t>
      </w:r>
      <w:r w:rsidR="003326AE">
        <w:t xml:space="preserve">.  This work culminated in </w:t>
      </w:r>
      <w:r>
        <w:t>operation</w:t>
      </w:r>
      <w:r w:rsidR="003326AE">
        <w:t xml:space="preserve"> of a </w:t>
      </w:r>
      <w:r w:rsidR="00D910C6">
        <w:t xml:space="preserve">large-scale </w:t>
      </w:r>
      <w:r w:rsidR="003326AE">
        <w:t xml:space="preserve">scandium recovery pilot plant to a </w:t>
      </w:r>
      <w:r w:rsidR="00D910C6">
        <w:t>major</w:t>
      </w:r>
      <w:r w:rsidR="003326AE">
        <w:t xml:space="preserve"> Japanese titanium dioxide producer in 2015. </w:t>
      </w:r>
      <w:r>
        <w:t>Subsequently, a</w:t>
      </w:r>
      <w:r w:rsidR="003326AE">
        <w:t xml:space="preserve"> large-scale pilot plant campaign was carried out in 2015 </w:t>
      </w:r>
      <w:r>
        <w:t xml:space="preserve">on Syerston ore </w:t>
      </w:r>
      <w:r w:rsidR="003326AE">
        <w:t>to produce scandium oxide samples for potential customers.</w:t>
      </w:r>
      <w:r>
        <w:t xml:space="preserve"> </w:t>
      </w:r>
    </w:p>
    <w:p w14:paraId="6D63A988" w14:textId="77777777" w:rsidR="00627A67" w:rsidRDefault="00393875" w:rsidP="00393875">
      <w:pPr>
        <w:jc w:val="center"/>
        <w:rPr>
          <w:rFonts w:ascii="robotocondensed-light-webfont" w:hAnsi="robotocondensed-light-webfont"/>
          <w:color w:val="6F6F6E"/>
          <w:spacing w:val="4"/>
        </w:rPr>
      </w:pPr>
      <w:r>
        <w:rPr>
          <w:noProof/>
          <w:lang w:val="en-US"/>
        </w:rPr>
        <w:drawing>
          <wp:inline distT="0" distB="0" distL="0" distR="0" wp14:anchorId="36E8B35E" wp14:editId="1835F7D0">
            <wp:extent cx="5334000" cy="3002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002280"/>
                    </a:xfrm>
                    <a:prstGeom prst="rect">
                      <a:avLst/>
                    </a:prstGeom>
                    <a:noFill/>
                    <a:ln>
                      <a:noFill/>
                    </a:ln>
                  </pic:spPr>
                </pic:pic>
              </a:graphicData>
            </a:graphic>
          </wp:inline>
        </w:drawing>
      </w:r>
    </w:p>
    <w:p w14:paraId="236BAD0F" w14:textId="77777777" w:rsidR="00627A67" w:rsidRDefault="00627A67" w:rsidP="003326AE">
      <w:pPr>
        <w:pStyle w:val="Caption"/>
      </w:pPr>
      <w:r>
        <w:t xml:space="preserve">Clean TeQ’s </w:t>
      </w:r>
      <w:r w:rsidR="00393875">
        <w:t>c</w:t>
      </w:r>
      <w:r>
        <w:t xml:space="preserve">RIP Pilot Plant </w:t>
      </w:r>
      <w:r w:rsidR="00393875">
        <w:t>in Perth, Australia</w:t>
      </w:r>
    </w:p>
    <w:p w14:paraId="74DAEC97" w14:textId="77777777" w:rsidR="006D3EC8" w:rsidRDefault="006D3EC8" w:rsidP="00D910C6">
      <w:pPr>
        <w:pStyle w:val="Heading2"/>
      </w:pPr>
    </w:p>
    <w:p w14:paraId="0DB35C63" w14:textId="77777777" w:rsidR="00627A67" w:rsidRDefault="00393875" w:rsidP="00851BD2">
      <w:pPr>
        <w:pStyle w:val="Heading3"/>
      </w:pPr>
      <w:r>
        <w:t>Environment</w:t>
      </w:r>
      <w:r w:rsidR="00D910C6">
        <w:t xml:space="preserve"> &amp; Permitting</w:t>
      </w:r>
    </w:p>
    <w:p w14:paraId="34EBFB70" w14:textId="77777777" w:rsidR="00627A67" w:rsidRPr="00393875" w:rsidRDefault="00627A67" w:rsidP="00393875">
      <w:r w:rsidRPr="00393875">
        <w:t>An Environmental Impact Statement (EIS) was prepared in late 2000 by Black Range Minerals as a requirement to apply for Development Consent for the Project.  Potential environmental impacts, impact assessments, mitigation measures and environmental management, rehabilitation and monitoring strategies are documented in the EIS.  The Project was granted Development Consent in May 2001, with a modified Development Consent granted in 2006.</w:t>
      </w:r>
    </w:p>
    <w:p w14:paraId="5C19B760" w14:textId="77777777" w:rsidR="006D3EC8" w:rsidRPr="00393875" w:rsidRDefault="006D3EC8" w:rsidP="00393875">
      <w:r w:rsidRPr="00393875">
        <w:t>In April 2016 Clean TeQ applied for a modification of the Development Consent to include scandium oxide as a product and to operate an initial smaller scale scandium operation while preserving the approval for a larger nickel/cobalt operation which may be considered in the future.  The modification is expected to be approved by the end of Q4, 2016.</w:t>
      </w:r>
    </w:p>
    <w:p w14:paraId="587AAA7E" w14:textId="700C4FBA" w:rsidR="00627A67" w:rsidRDefault="006D3EC8">
      <w:r w:rsidRPr="00393875">
        <w:t xml:space="preserve">The modification application included draft Voluntary Planning Agreements (VPA) which have been agreed with each of the local Shires outlining contributions that Clean TeQ will make to local road upgrades, road maintenance and contributions to a range of community based activities.  </w:t>
      </w:r>
    </w:p>
    <w:sectPr w:rsidR="00627A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38101" w14:textId="77777777" w:rsidR="004F3162" w:rsidRDefault="004F3162" w:rsidP="00724E49">
      <w:pPr>
        <w:spacing w:after="0" w:line="240" w:lineRule="auto"/>
      </w:pPr>
      <w:r>
        <w:separator/>
      </w:r>
    </w:p>
  </w:endnote>
  <w:endnote w:type="continuationSeparator" w:id="0">
    <w:p w14:paraId="2F591528" w14:textId="77777777" w:rsidR="004F3162" w:rsidRDefault="004F3162" w:rsidP="00724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PMingLiU">
    <w:panose1 w:val="02020500000000000000"/>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robotocondensed-light-webfont">
    <w:altName w:val="Arial"/>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F9C18" w14:textId="77777777" w:rsidR="004F3162" w:rsidRDefault="004F3162" w:rsidP="00724E49">
      <w:pPr>
        <w:spacing w:after="0" w:line="240" w:lineRule="auto"/>
      </w:pPr>
      <w:r>
        <w:separator/>
      </w:r>
    </w:p>
  </w:footnote>
  <w:footnote w:type="continuationSeparator" w:id="0">
    <w:p w14:paraId="1FAE014D" w14:textId="77777777" w:rsidR="004F3162" w:rsidRDefault="004F3162" w:rsidP="00724E4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5610A"/>
    <w:multiLevelType w:val="hybridMultilevel"/>
    <w:tmpl w:val="0A247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B516F6"/>
    <w:multiLevelType w:val="hybridMultilevel"/>
    <w:tmpl w:val="FB28C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725D2C"/>
    <w:multiLevelType w:val="multilevel"/>
    <w:tmpl w:val="421E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11C51"/>
    <w:multiLevelType w:val="multilevel"/>
    <w:tmpl w:val="0B9A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374A5"/>
    <w:multiLevelType w:val="multilevel"/>
    <w:tmpl w:val="3B96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962792"/>
    <w:multiLevelType w:val="multilevel"/>
    <w:tmpl w:val="7604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065BB"/>
    <w:multiLevelType w:val="multilevel"/>
    <w:tmpl w:val="1AD4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645E6"/>
    <w:multiLevelType w:val="multilevel"/>
    <w:tmpl w:val="A916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A01D91"/>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A48558D"/>
    <w:multiLevelType w:val="multilevel"/>
    <w:tmpl w:val="AE9AB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2E6191"/>
    <w:multiLevelType w:val="multilevel"/>
    <w:tmpl w:val="7FC6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E10A37"/>
    <w:multiLevelType w:val="multilevel"/>
    <w:tmpl w:val="0C64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DF6DAF"/>
    <w:multiLevelType w:val="hybridMultilevel"/>
    <w:tmpl w:val="61F0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B97CA3"/>
    <w:multiLevelType w:val="multilevel"/>
    <w:tmpl w:val="9A7C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526E85"/>
    <w:multiLevelType w:val="hybridMultilevel"/>
    <w:tmpl w:val="4918A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9176A3"/>
    <w:multiLevelType w:val="multilevel"/>
    <w:tmpl w:val="1CAE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481D2B"/>
    <w:multiLevelType w:val="multilevel"/>
    <w:tmpl w:val="6C74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EF7EAA"/>
    <w:multiLevelType w:val="multilevel"/>
    <w:tmpl w:val="489A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B65D4D"/>
    <w:multiLevelType w:val="hybridMultilevel"/>
    <w:tmpl w:val="1E46E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3420ACD"/>
    <w:multiLevelType w:val="multilevel"/>
    <w:tmpl w:val="1ADA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F85F3A"/>
    <w:multiLevelType w:val="multilevel"/>
    <w:tmpl w:val="F62A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883825"/>
    <w:multiLevelType w:val="multilevel"/>
    <w:tmpl w:val="25A0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86054B"/>
    <w:multiLevelType w:val="multilevel"/>
    <w:tmpl w:val="95A4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602A14"/>
    <w:multiLevelType w:val="multilevel"/>
    <w:tmpl w:val="EEF8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7"/>
  </w:num>
  <w:num w:numId="3">
    <w:abstractNumId w:val="13"/>
  </w:num>
  <w:num w:numId="4">
    <w:abstractNumId w:val="22"/>
  </w:num>
  <w:num w:numId="5">
    <w:abstractNumId w:val="16"/>
  </w:num>
  <w:num w:numId="6">
    <w:abstractNumId w:val="15"/>
  </w:num>
  <w:num w:numId="7">
    <w:abstractNumId w:val="2"/>
  </w:num>
  <w:num w:numId="8">
    <w:abstractNumId w:val="5"/>
  </w:num>
  <w:num w:numId="9">
    <w:abstractNumId w:val="19"/>
  </w:num>
  <w:num w:numId="10">
    <w:abstractNumId w:val="4"/>
  </w:num>
  <w:num w:numId="11">
    <w:abstractNumId w:val="11"/>
  </w:num>
  <w:num w:numId="12">
    <w:abstractNumId w:val="6"/>
  </w:num>
  <w:num w:numId="13">
    <w:abstractNumId w:val="9"/>
  </w:num>
  <w:num w:numId="14">
    <w:abstractNumId w:val="3"/>
  </w:num>
  <w:num w:numId="15">
    <w:abstractNumId w:val="10"/>
  </w:num>
  <w:num w:numId="16">
    <w:abstractNumId w:val="17"/>
  </w:num>
  <w:num w:numId="17">
    <w:abstractNumId w:val="23"/>
  </w:num>
  <w:num w:numId="18">
    <w:abstractNumId w:val="20"/>
  </w:num>
  <w:num w:numId="19">
    <w:abstractNumId w:val="8"/>
  </w:num>
  <w:num w:numId="20">
    <w:abstractNumId w:val="0"/>
  </w:num>
  <w:num w:numId="21">
    <w:abstractNumId w:val="12"/>
  </w:num>
  <w:num w:numId="22">
    <w:abstractNumId w:val="18"/>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A67"/>
    <w:rsid w:val="00006A6E"/>
    <w:rsid w:val="000116F5"/>
    <w:rsid w:val="00014FEA"/>
    <w:rsid w:val="000A0A8E"/>
    <w:rsid w:val="00123C5D"/>
    <w:rsid w:val="00164F21"/>
    <w:rsid w:val="002C2117"/>
    <w:rsid w:val="003326AE"/>
    <w:rsid w:val="00393875"/>
    <w:rsid w:val="004158FA"/>
    <w:rsid w:val="0042784A"/>
    <w:rsid w:val="004E4576"/>
    <w:rsid w:val="004F3162"/>
    <w:rsid w:val="00572FAF"/>
    <w:rsid w:val="0062100D"/>
    <w:rsid w:val="00627A67"/>
    <w:rsid w:val="00651FE6"/>
    <w:rsid w:val="006967A3"/>
    <w:rsid w:val="006C09C4"/>
    <w:rsid w:val="006D3EC8"/>
    <w:rsid w:val="006E37A2"/>
    <w:rsid w:val="00724E49"/>
    <w:rsid w:val="00736BE4"/>
    <w:rsid w:val="00761EC7"/>
    <w:rsid w:val="00784524"/>
    <w:rsid w:val="007B1CEE"/>
    <w:rsid w:val="007D2A74"/>
    <w:rsid w:val="008075C8"/>
    <w:rsid w:val="00851BD2"/>
    <w:rsid w:val="00853310"/>
    <w:rsid w:val="00916C49"/>
    <w:rsid w:val="009F3A71"/>
    <w:rsid w:val="00AF2AA6"/>
    <w:rsid w:val="00B42E47"/>
    <w:rsid w:val="00B44E49"/>
    <w:rsid w:val="00BA59F4"/>
    <w:rsid w:val="00C07EC3"/>
    <w:rsid w:val="00C30731"/>
    <w:rsid w:val="00C67444"/>
    <w:rsid w:val="00CA50DC"/>
    <w:rsid w:val="00CF15BC"/>
    <w:rsid w:val="00D02063"/>
    <w:rsid w:val="00D34DF4"/>
    <w:rsid w:val="00D74721"/>
    <w:rsid w:val="00D910C6"/>
    <w:rsid w:val="00E36BA8"/>
    <w:rsid w:val="00EA3E15"/>
    <w:rsid w:val="00EC2D26"/>
    <w:rsid w:val="00EF12AF"/>
    <w:rsid w:val="00F1384B"/>
    <w:rsid w:val="00F746F0"/>
    <w:rsid w:val="00F80629"/>
    <w:rsid w:val="00F817BE"/>
    <w:rsid w:val="00FC5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2E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EC8"/>
    <w:pPr>
      <w:spacing w:after="120" w:line="264" w:lineRule="auto"/>
      <w:jc w:val="both"/>
    </w:pPr>
    <w:rPr>
      <w:rFonts w:ascii="Arial" w:hAnsi="Arial"/>
    </w:rPr>
  </w:style>
  <w:style w:type="paragraph" w:styleId="Heading1">
    <w:name w:val="heading 1"/>
    <w:basedOn w:val="Normal"/>
    <w:link w:val="Heading1Char"/>
    <w:uiPriority w:val="9"/>
    <w:qFormat/>
    <w:rsid w:val="009F3A71"/>
    <w:pPr>
      <w:spacing w:before="100" w:beforeAutospacing="1" w:after="100" w:afterAutospacing="1" w:line="240" w:lineRule="auto"/>
      <w:outlineLvl w:val="0"/>
    </w:pPr>
    <w:rPr>
      <w:rFonts w:eastAsia="Times New Roman" w:cs="Times New Roman"/>
      <w:b/>
      <w:bCs/>
      <w:kern w:val="36"/>
      <w:sz w:val="40"/>
      <w:szCs w:val="48"/>
      <w:lang w:eastAsia="en-AU"/>
    </w:rPr>
  </w:style>
  <w:style w:type="paragraph" w:styleId="Heading2">
    <w:name w:val="heading 2"/>
    <w:basedOn w:val="Normal"/>
    <w:next w:val="Normal"/>
    <w:link w:val="Heading2Char"/>
    <w:uiPriority w:val="9"/>
    <w:unhideWhenUsed/>
    <w:qFormat/>
    <w:rsid w:val="009F3A71"/>
    <w:pPr>
      <w:keepNext/>
      <w:keepLines/>
      <w:spacing w:before="40" w:after="240"/>
      <w:outlineLvl w:val="1"/>
    </w:pPr>
    <w:rPr>
      <w:rFonts w:eastAsiaTheme="majorEastAsia" w:cstheme="majorBidi"/>
      <w:sz w:val="28"/>
      <w:szCs w:val="26"/>
    </w:rPr>
  </w:style>
  <w:style w:type="paragraph" w:styleId="Heading3">
    <w:name w:val="heading 3"/>
    <w:basedOn w:val="Normal"/>
    <w:link w:val="Heading3Char"/>
    <w:uiPriority w:val="9"/>
    <w:qFormat/>
    <w:rsid w:val="009F3A71"/>
    <w:pPr>
      <w:spacing w:before="100" w:beforeAutospacing="1" w:after="100" w:afterAutospacing="1" w:line="240" w:lineRule="auto"/>
      <w:outlineLvl w:val="2"/>
    </w:pPr>
    <w:rPr>
      <w:rFonts w:eastAsia="Times New Roman" w:cs="Times New Roman"/>
      <w:b/>
      <w:bCs/>
      <w:sz w:val="24"/>
      <w:szCs w:val="27"/>
      <w:lang w:eastAsia="en-AU"/>
    </w:rPr>
  </w:style>
  <w:style w:type="paragraph" w:styleId="Heading4">
    <w:name w:val="heading 4"/>
    <w:basedOn w:val="Normal"/>
    <w:next w:val="Normal"/>
    <w:link w:val="Heading4Char"/>
    <w:uiPriority w:val="9"/>
    <w:semiHidden/>
    <w:unhideWhenUsed/>
    <w:qFormat/>
    <w:rsid w:val="006D3EC8"/>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27A67"/>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D3EC8"/>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D3EC8"/>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D3EC8"/>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3EC8"/>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EC8"/>
    <w:rPr>
      <w:rFonts w:ascii="Arial" w:eastAsia="Times New Roman" w:hAnsi="Arial" w:cs="Times New Roman"/>
      <w:b/>
      <w:bCs/>
      <w:kern w:val="36"/>
      <w:sz w:val="40"/>
      <w:szCs w:val="48"/>
      <w:lang w:eastAsia="en-AU"/>
    </w:rPr>
  </w:style>
  <w:style w:type="character" w:customStyle="1" w:styleId="Heading3Char">
    <w:name w:val="Heading 3 Char"/>
    <w:basedOn w:val="DefaultParagraphFont"/>
    <w:link w:val="Heading3"/>
    <w:uiPriority w:val="9"/>
    <w:rsid w:val="009F3A71"/>
    <w:rPr>
      <w:rFonts w:ascii="Arial" w:eastAsia="Times New Roman" w:hAnsi="Arial" w:cs="Times New Roman"/>
      <w:b/>
      <w:bCs/>
      <w:sz w:val="24"/>
      <w:szCs w:val="27"/>
      <w:lang w:eastAsia="en-AU"/>
    </w:rPr>
  </w:style>
  <w:style w:type="paragraph" w:styleId="NormalWeb">
    <w:name w:val="Normal (Web)"/>
    <w:basedOn w:val="Normal"/>
    <w:uiPriority w:val="99"/>
    <w:semiHidden/>
    <w:unhideWhenUsed/>
    <w:rsid w:val="00627A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627A67"/>
  </w:style>
  <w:style w:type="character" w:styleId="Strong">
    <w:name w:val="Strong"/>
    <w:basedOn w:val="DefaultParagraphFont"/>
    <w:uiPriority w:val="22"/>
    <w:qFormat/>
    <w:rsid w:val="00627A67"/>
    <w:rPr>
      <w:b/>
      <w:bCs/>
    </w:rPr>
  </w:style>
  <w:style w:type="character" w:customStyle="1" w:styleId="Heading2Char">
    <w:name w:val="Heading 2 Char"/>
    <w:basedOn w:val="DefaultParagraphFont"/>
    <w:link w:val="Heading2"/>
    <w:uiPriority w:val="9"/>
    <w:rsid w:val="009F3A71"/>
    <w:rPr>
      <w:rFonts w:ascii="Arial" w:eastAsiaTheme="majorEastAsia" w:hAnsi="Arial" w:cstheme="majorBidi"/>
      <w:sz w:val="28"/>
      <w:szCs w:val="26"/>
    </w:rPr>
  </w:style>
  <w:style w:type="paragraph" w:customStyle="1" w:styleId="wp-caption-text">
    <w:name w:val="wp-caption-text"/>
    <w:basedOn w:val="Normal"/>
    <w:rsid w:val="00627A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627A67"/>
    <w:rPr>
      <w:color w:val="0000FF"/>
      <w:u w:val="single"/>
    </w:rPr>
  </w:style>
  <w:style w:type="paragraph" w:styleId="HTMLAddress">
    <w:name w:val="HTML Address"/>
    <w:basedOn w:val="Normal"/>
    <w:link w:val="HTMLAddressChar"/>
    <w:uiPriority w:val="99"/>
    <w:semiHidden/>
    <w:unhideWhenUsed/>
    <w:rsid w:val="00627A67"/>
    <w:pPr>
      <w:spacing w:after="0" w:line="240" w:lineRule="auto"/>
    </w:pPr>
    <w:rPr>
      <w:rFonts w:ascii="Times New Roman" w:eastAsia="Times New Roman" w:hAnsi="Times New Roman" w:cs="Times New Roman"/>
      <w:i/>
      <w:iCs/>
      <w:sz w:val="24"/>
      <w:szCs w:val="24"/>
      <w:lang w:eastAsia="en-AU"/>
    </w:rPr>
  </w:style>
  <w:style w:type="character" w:customStyle="1" w:styleId="HTMLAddressChar">
    <w:name w:val="HTML Address Char"/>
    <w:basedOn w:val="DefaultParagraphFont"/>
    <w:link w:val="HTMLAddress"/>
    <w:uiPriority w:val="99"/>
    <w:semiHidden/>
    <w:rsid w:val="00627A67"/>
    <w:rPr>
      <w:rFonts w:ascii="Times New Roman" w:eastAsia="Times New Roman" w:hAnsi="Times New Roman" w:cs="Times New Roman"/>
      <w:i/>
      <w:iCs/>
      <w:sz w:val="24"/>
      <w:szCs w:val="24"/>
      <w:lang w:eastAsia="en-AU"/>
    </w:rPr>
  </w:style>
  <w:style w:type="character" w:styleId="Emphasis">
    <w:name w:val="Emphasis"/>
    <w:basedOn w:val="DefaultParagraphFont"/>
    <w:uiPriority w:val="20"/>
    <w:qFormat/>
    <w:rsid w:val="00627A67"/>
    <w:rPr>
      <w:i/>
      <w:iCs/>
    </w:rPr>
  </w:style>
  <w:style w:type="character" w:customStyle="1" w:styleId="Heading5Char">
    <w:name w:val="Heading 5 Char"/>
    <w:basedOn w:val="DefaultParagraphFont"/>
    <w:link w:val="Heading5"/>
    <w:uiPriority w:val="9"/>
    <w:semiHidden/>
    <w:rsid w:val="00627A67"/>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6D3EC8"/>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6D3EC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D3EC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D3EC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3EC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9F3A71"/>
    <w:pPr>
      <w:ind w:left="720"/>
      <w:contextualSpacing/>
    </w:pPr>
  </w:style>
  <w:style w:type="paragraph" w:styleId="Title">
    <w:name w:val="Title"/>
    <w:basedOn w:val="Normal"/>
    <w:next w:val="Normal"/>
    <w:link w:val="TitleChar"/>
    <w:uiPriority w:val="10"/>
    <w:qFormat/>
    <w:rsid w:val="00784524"/>
    <w:pPr>
      <w:spacing w:after="360" w:line="240" w:lineRule="auto"/>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84524"/>
    <w:rPr>
      <w:rFonts w:ascii="Arial" w:eastAsiaTheme="majorEastAsia" w:hAnsi="Arial" w:cstheme="majorBidi"/>
      <w:spacing w:val="-10"/>
      <w:kern w:val="28"/>
      <w:sz w:val="56"/>
      <w:szCs w:val="56"/>
    </w:rPr>
  </w:style>
  <w:style w:type="paragraph" w:styleId="Caption">
    <w:name w:val="caption"/>
    <w:basedOn w:val="Normal"/>
    <w:next w:val="Normal"/>
    <w:uiPriority w:val="99"/>
    <w:qFormat/>
    <w:rsid w:val="00123C5D"/>
    <w:pPr>
      <w:spacing w:before="120" w:after="60"/>
      <w:jc w:val="center"/>
    </w:pPr>
    <w:rPr>
      <w:rFonts w:eastAsia="Calibri" w:cs="Times New Roman"/>
      <w:b/>
      <w:bCs/>
      <w:i/>
      <w:sz w:val="20"/>
      <w:szCs w:val="20"/>
    </w:rPr>
  </w:style>
  <w:style w:type="paragraph" w:styleId="FootnoteText">
    <w:name w:val="footnote text"/>
    <w:basedOn w:val="Normal"/>
    <w:link w:val="FootnoteTextChar"/>
    <w:uiPriority w:val="99"/>
    <w:semiHidden/>
    <w:rsid w:val="00724E49"/>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724E49"/>
    <w:rPr>
      <w:rFonts w:ascii="Calibri" w:eastAsia="Calibri" w:hAnsi="Calibri" w:cs="Times New Roman"/>
      <w:sz w:val="20"/>
      <w:szCs w:val="20"/>
      <w:lang w:val="en-US"/>
    </w:rPr>
  </w:style>
  <w:style w:type="character" w:styleId="FootnoteReference">
    <w:name w:val="footnote reference"/>
    <w:uiPriority w:val="99"/>
    <w:semiHidden/>
    <w:rsid w:val="00724E49"/>
    <w:rPr>
      <w:rFonts w:cs="Times New Roman"/>
      <w:vertAlign w:val="superscript"/>
    </w:rPr>
  </w:style>
  <w:style w:type="table" w:customStyle="1" w:styleId="GridTable4-Accent31">
    <w:name w:val="Grid Table 4 - Accent 31"/>
    <w:basedOn w:val="TableNormal"/>
    <w:uiPriority w:val="49"/>
    <w:rsid w:val="00123C5D"/>
    <w:pPr>
      <w:spacing w:after="0" w:line="240" w:lineRule="auto"/>
    </w:pPr>
    <w:rPr>
      <w:rFonts w:ascii="Calibri" w:eastAsia="Calibri" w:hAnsi="Calibri" w:cs="Times New Roman"/>
      <w:sz w:val="20"/>
      <w:szCs w:val="20"/>
      <w:lang w:eastAsia="en-AU"/>
    </w:rPr>
    <w:tblPr>
      <w:tblStyleRowBandSize w:val="1"/>
      <w:tblStyleColBandSize w:val="1"/>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rPr>
      <w:jc w:val="center"/>
    </w:tr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X">
    <w:name w:val="TableX"/>
    <w:basedOn w:val="Normal"/>
    <w:link w:val="TableXChar"/>
    <w:qFormat/>
    <w:rsid w:val="00123C5D"/>
    <w:pPr>
      <w:spacing w:before="60" w:after="60" w:line="240" w:lineRule="auto"/>
      <w:jc w:val="center"/>
    </w:pPr>
    <w:rPr>
      <w:rFonts w:eastAsia="PMingLiU" w:cstheme="minorHAnsi"/>
      <w:sz w:val="16"/>
      <w:szCs w:val="18"/>
      <w:lang w:eastAsia="en-AU" w:bidi="en-US"/>
    </w:rPr>
  </w:style>
  <w:style w:type="character" w:customStyle="1" w:styleId="TableXChar">
    <w:name w:val="TableX Char"/>
    <w:basedOn w:val="DefaultParagraphFont"/>
    <w:link w:val="TableX"/>
    <w:rsid w:val="00123C5D"/>
    <w:rPr>
      <w:rFonts w:ascii="Arial" w:eastAsia="PMingLiU" w:hAnsi="Arial" w:cstheme="minorHAnsi"/>
      <w:sz w:val="16"/>
      <w:szCs w:val="18"/>
      <w:lang w:eastAsia="en-AU" w:bidi="en-US"/>
    </w:rPr>
  </w:style>
  <w:style w:type="character" w:customStyle="1" w:styleId="ListParagraphChar">
    <w:name w:val="List Paragraph Char"/>
    <w:link w:val="ListParagraph"/>
    <w:uiPriority w:val="34"/>
    <w:rsid w:val="00D910C6"/>
    <w:rPr>
      <w:rFonts w:ascii="Arial" w:hAnsi="Arial"/>
    </w:rPr>
  </w:style>
  <w:style w:type="paragraph" w:styleId="BalloonText">
    <w:name w:val="Balloon Text"/>
    <w:basedOn w:val="Normal"/>
    <w:link w:val="BalloonTextChar"/>
    <w:uiPriority w:val="99"/>
    <w:semiHidden/>
    <w:unhideWhenUsed/>
    <w:rsid w:val="00EC2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D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168394">
      <w:bodyDiv w:val="1"/>
      <w:marLeft w:val="0"/>
      <w:marRight w:val="0"/>
      <w:marTop w:val="0"/>
      <w:marBottom w:val="0"/>
      <w:divBdr>
        <w:top w:val="none" w:sz="0" w:space="0" w:color="auto"/>
        <w:left w:val="none" w:sz="0" w:space="0" w:color="auto"/>
        <w:bottom w:val="none" w:sz="0" w:space="0" w:color="auto"/>
        <w:right w:val="none" w:sz="0" w:space="0" w:color="auto"/>
      </w:divBdr>
      <w:divsChild>
        <w:div w:id="1246957149">
          <w:marLeft w:val="0"/>
          <w:marRight w:val="0"/>
          <w:marTop w:val="0"/>
          <w:marBottom w:val="0"/>
          <w:divBdr>
            <w:top w:val="none" w:sz="0" w:space="0" w:color="auto"/>
            <w:left w:val="none" w:sz="0" w:space="0" w:color="auto"/>
            <w:bottom w:val="none" w:sz="0" w:space="0" w:color="auto"/>
            <w:right w:val="none" w:sz="0" w:space="0" w:color="auto"/>
          </w:divBdr>
        </w:div>
      </w:divsChild>
    </w:div>
    <w:div w:id="1107575425">
      <w:bodyDiv w:val="1"/>
      <w:marLeft w:val="0"/>
      <w:marRight w:val="0"/>
      <w:marTop w:val="0"/>
      <w:marBottom w:val="0"/>
      <w:divBdr>
        <w:top w:val="none" w:sz="0" w:space="0" w:color="auto"/>
        <w:left w:val="none" w:sz="0" w:space="0" w:color="auto"/>
        <w:bottom w:val="none" w:sz="0" w:space="0" w:color="auto"/>
        <w:right w:val="none" w:sz="0" w:space="0" w:color="auto"/>
      </w:divBdr>
    </w:div>
    <w:div w:id="1977444458">
      <w:bodyDiv w:val="1"/>
      <w:marLeft w:val="0"/>
      <w:marRight w:val="0"/>
      <w:marTop w:val="0"/>
      <w:marBottom w:val="0"/>
      <w:divBdr>
        <w:top w:val="none" w:sz="0" w:space="0" w:color="auto"/>
        <w:left w:val="none" w:sz="0" w:space="0" w:color="auto"/>
        <w:bottom w:val="none" w:sz="0" w:space="0" w:color="auto"/>
        <w:right w:val="none" w:sz="0" w:space="0" w:color="auto"/>
      </w:divBdr>
      <w:divsChild>
        <w:div w:id="1064640606">
          <w:marLeft w:val="0"/>
          <w:marRight w:val="0"/>
          <w:marTop w:val="0"/>
          <w:marBottom w:val="0"/>
          <w:divBdr>
            <w:top w:val="none" w:sz="0" w:space="0" w:color="auto"/>
            <w:left w:val="none" w:sz="0" w:space="0" w:color="auto"/>
            <w:bottom w:val="none" w:sz="0" w:space="0" w:color="auto"/>
            <w:right w:val="none" w:sz="0" w:space="0" w:color="auto"/>
          </w:divBdr>
        </w:div>
        <w:div w:id="913467625">
          <w:marLeft w:val="0"/>
          <w:marRight w:val="0"/>
          <w:marTop w:val="0"/>
          <w:marBottom w:val="0"/>
          <w:divBdr>
            <w:top w:val="none" w:sz="0" w:space="0" w:color="auto"/>
            <w:left w:val="none" w:sz="0" w:space="0" w:color="auto"/>
            <w:bottom w:val="none" w:sz="0" w:space="0" w:color="auto"/>
            <w:right w:val="none" w:sz="0" w:space="0" w:color="auto"/>
          </w:divBdr>
        </w:div>
        <w:div w:id="1715275656">
          <w:marLeft w:val="0"/>
          <w:marRight w:val="0"/>
          <w:marTop w:val="0"/>
          <w:marBottom w:val="0"/>
          <w:divBdr>
            <w:top w:val="none" w:sz="0" w:space="0" w:color="auto"/>
            <w:left w:val="none" w:sz="0" w:space="0" w:color="auto"/>
            <w:bottom w:val="none" w:sz="0" w:space="0" w:color="auto"/>
            <w:right w:val="none" w:sz="0" w:space="0" w:color="auto"/>
          </w:divBdr>
        </w:div>
        <w:div w:id="1748308974">
          <w:marLeft w:val="0"/>
          <w:marRight w:val="0"/>
          <w:marTop w:val="0"/>
          <w:marBottom w:val="0"/>
          <w:divBdr>
            <w:top w:val="none" w:sz="0" w:space="0" w:color="auto"/>
            <w:left w:val="none" w:sz="0" w:space="0" w:color="auto"/>
            <w:bottom w:val="none" w:sz="0" w:space="0" w:color="auto"/>
            <w:right w:val="none" w:sz="0" w:space="0" w:color="auto"/>
          </w:divBdr>
        </w:div>
        <w:div w:id="143010196">
          <w:marLeft w:val="0"/>
          <w:marRight w:val="0"/>
          <w:marTop w:val="0"/>
          <w:marBottom w:val="0"/>
          <w:divBdr>
            <w:top w:val="none" w:sz="0" w:space="0" w:color="auto"/>
            <w:left w:val="none" w:sz="0" w:space="0" w:color="auto"/>
            <w:bottom w:val="none" w:sz="0" w:space="0" w:color="auto"/>
            <w:right w:val="none" w:sz="0" w:space="0" w:color="auto"/>
          </w:divBdr>
        </w:div>
        <w:div w:id="645359944">
          <w:marLeft w:val="0"/>
          <w:marRight w:val="0"/>
          <w:marTop w:val="0"/>
          <w:marBottom w:val="0"/>
          <w:divBdr>
            <w:top w:val="none" w:sz="0" w:space="0" w:color="auto"/>
            <w:left w:val="none" w:sz="0" w:space="0" w:color="auto"/>
            <w:bottom w:val="none" w:sz="0" w:space="0" w:color="auto"/>
            <w:right w:val="none" w:sz="0" w:space="0" w:color="auto"/>
          </w:divBdr>
        </w:div>
        <w:div w:id="1653097444">
          <w:marLeft w:val="0"/>
          <w:marRight w:val="0"/>
          <w:marTop w:val="0"/>
          <w:marBottom w:val="0"/>
          <w:divBdr>
            <w:top w:val="none" w:sz="0" w:space="0" w:color="auto"/>
            <w:left w:val="none" w:sz="0" w:space="0" w:color="auto"/>
            <w:bottom w:val="none" w:sz="0" w:space="0" w:color="auto"/>
            <w:right w:val="none" w:sz="0" w:space="0" w:color="auto"/>
          </w:divBdr>
        </w:div>
        <w:div w:id="1151092384">
          <w:marLeft w:val="0"/>
          <w:marRight w:val="0"/>
          <w:marTop w:val="0"/>
          <w:marBottom w:val="0"/>
          <w:divBdr>
            <w:top w:val="none" w:sz="0" w:space="0" w:color="auto"/>
            <w:left w:val="none" w:sz="0" w:space="0" w:color="auto"/>
            <w:bottom w:val="none" w:sz="0" w:space="0" w:color="auto"/>
            <w:right w:val="none" w:sz="0" w:space="0" w:color="auto"/>
          </w:divBdr>
        </w:div>
      </w:divsChild>
    </w:div>
    <w:div w:id="2142846403">
      <w:bodyDiv w:val="1"/>
      <w:marLeft w:val="0"/>
      <w:marRight w:val="0"/>
      <w:marTop w:val="0"/>
      <w:marBottom w:val="0"/>
      <w:divBdr>
        <w:top w:val="none" w:sz="0" w:space="0" w:color="auto"/>
        <w:left w:val="none" w:sz="0" w:space="0" w:color="auto"/>
        <w:bottom w:val="none" w:sz="0" w:space="0" w:color="auto"/>
        <w:right w:val="none" w:sz="0" w:space="0" w:color="auto"/>
      </w:divBdr>
      <w:divsChild>
        <w:div w:id="248581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1226</Words>
  <Characters>6989</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Carr</dc:creator>
  <cp:lastModifiedBy>Patricia Rojas</cp:lastModifiedBy>
  <cp:revision>2</cp:revision>
  <cp:lastPrinted>2016-12-21T01:11:00Z</cp:lastPrinted>
  <dcterms:created xsi:type="dcterms:W3CDTF">2016-12-21T04:45:00Z</dcterms:created>
  <dcterms:modified xsi:type="dcterms:W3CDTF">2016-12-21T04:45:00Z</dcterms:modified>
</cp:coreProperties>
</file>