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53CDC" w14:textId="77777777" w:rsidR="00EF12AF" w:rsidRPr="00341C1B" w:rsidRDefault="00EF12AF" w:rsidP="00851BD2">
      <w:pPr>
        <w:pStyle w:val="Heading2"/>
        <w:rPr>
          <w:b/>
          <w:sz w:val="36"/>
          <w:szCs w:val="36"/>
        </w:rPr>
      </w:pPr>
      <w:r w:rsidRPr="00341C1B">
        <w:rPr>
          <w:b/>
          <w:sz w:val="36"/>
          <w:szCs w:val="36"/>
        </w:rPr>
        <w:t>Nickel &amp; Cobalt for Lithium Ion Batteries</w:t>
      </w:r>
    </w:p>
    <w:p w14:paraId="2C8CA81A" w14:textId="77777777" w:rsidR="00BA59F4" w:rsidRDefault="00BA59F4" w:rsidP="00BA59F4">
      <w:r>
        <w:t>Cobalt and nickel are critical raw materials in the production of cathodes for the lithium-ion battery (</w:t>
      </w:r>
      <w:r w:rsidRPr="00000FC0">
        <w:rPr>
          <w:b/>
        </w:rPr>
        <w:t>LiB</w:t>
      </w:r>
      <w:r>
        <w:t xml:space="preserve">) market.  These metals are used in the production of precursor materials, which are converted to cathode active material for use in the batteries.  </w:t>
      </w:r>
    </w:p>
    <w:p w14:paraId="2B19C1AB" w14:textId="77777777" w:rsidR="00BA59F4" w:rsidRDefault="00BA59F4" w:rsidP="00BA59F4">
      <w:r>
        <w:t>The battery industry requires nickel and cobalt to be supplied in specific chemical form for production of precursor material.  In the case of both cobalt and nickel, this is generally in the form of hydrated metal sulphates (CoSO</w:t>
      </w:r>
      <w:r w:rsidRPr="00233EF7">
        <w:rPr>
          <w:vertAlign w:val="subscript"/>
        </w:rPr>
        <w:t>4</w:t>
      </w:r>
      <w:r>
        <w:t>.7H</w:t>
      </w:r>
      <w:r w:rsidRPr="00233EF7">
        <w:rPr>
          <w:vertAlign w:val="subscript"/>
        </w:rPr>
        <w:t>2</w:t>
      </w:r>
      <w:r>
        <w:t>O and NiSO</w:t>
      </w:r>
      <w:r w:rsidRPr="00233EF7">
        <w:rPr>
          <w:vertAlign w:val="subscript"/>
        </w:rPr>
        <w:t>4</w:t>
      </w:r>
      <w:r>
        <w:t>.6H</w:t>
      </w:r>
      <w:r w:rsidRPr="00233EF7">
        <w:rPr>
          <w:vertAlign w:val="subscript"/>
        </w:rPr>
        <w:t>2</w:t>
      </w:r>
      <w:r>
        <w:t xml:space="preserve">O).  </w:t>
      </w:r>
    </w:p>
    <w:p w14:paraId="162776E5" w14:textId="77777777" w:rsidR="00BA59F4" w:rsidRDefault="00BA59F4" w:rsidP="00BA59F4">
      <w:r>
        <w:t xml:space="preserve">The demand for lithium-ion cells is anticipated to grow strongly over the next decade as production of electric vehicles increases and batteries become an important component in utility-scale energy storage systems.   </w:t>
      </w:r>
    </w:p>
    <w:p w14:paraId="0308E465" w14:textId="77777777" w:rsidR="00BA59F4" w:rsidRDefault="00BA59F4" w:rsidP="00BA59F4">
      <w:r>
        <w:t>Syerston’s high cobalt grades, combined with Clean TeQ’s proprietary Clean-iX</w:t>
      </w:r>
      <w:r w:rsidRPr="00BA59F4">
        <w:rPr>
          <w:vertAlign w:val="superscript"/>
        </w:rPr>
        <w:t>®</w:t>
      </w:r>
      <w:r>
        <w:t xml:space="preserve"> technology to produce the specific cobalt and nickel sulphates required by lithium-ion cell manufacturers, positions the Company to benefit from strong forecast growth in demand for LiB’s.  </w:t>
      </w:r>
    </w:p>
    <w:p w14:paraId="072EA8D2" w14:textId="77777777" w:rsidR="00BA59F4" w:rsidRDefault="00BA59F4" w:rsidP="00BA59F4">
      <w:pPr>
        <w:spacing w:after="360"/>
        <w:rPr>
          <w:szCs w:val="32"/>
        </w:rPr>
      </w:pPr>
      <w:r>
        <w:rPr>
          <w:szCs w:val="32"/>
        </w:rPr>
        <w:t>The global LiB market has grown at a 20% compound annual growth rate (CAGR) over the last 10 years</w:t>
      </w:r>
      <w:bookmarkStart w:id="0" w:name="_Ref459233365"/>
      <w:r>
        <w:rPr>
          <w:rStyle w:val="FootnoteReference"/>
          <w:szCs w:val="32"/>
        </w:rPr>
        <w:footnoteReference w:id="1"/>
      </w:r>
      <w:bookmarkEnd w:id="0"/>
      <w:r>
        <w:rPr>
          <w:szCs w:val="32"/>
        </w:rPr>
        <w:t xml:space="preserve">, mainly due to the steady growth in portable electronic devices (laptops, smartphones, etc) and, more recently, the </w:t>
      </w:r>
      <w:r w:rsidRPr="00717E95">
        <w:t>emergence</w:t>
      </w:r>
      <w:r>
        <w:rPr>
          <w:szCs w:val="32"/>
        </w:rPr>
        <w:t xml:space="preserve"> of automotive applications.  Forecasts for LiB demand growth vary, but even the most conservative estimates are predicting LiB demand to experience rapid growth over the next 10 years. </w:t>
      </w:r>
    </w:p>
    <w:p w14:paraId="240F47A0" w14:textId="77777777" w:rsidR="00BA59F4" w:rsidRPr="00A2001B" w:rsidRDefault="00BA59F4" w:rsidP="00BA59F4">
      <w:pPr>
        <w:pStyle w:val="Caption"/>
        <w:keepNext/>
      </w:pPr>
      <w:r>
        <w:t>Historic and Forecast Global LiB Sales</w:t>
      </w:r>
      <w:r w:rsidRPr="00A2001B">
        <w:t xml:space="preserve"> (‘</w:t>
      </w:r>
      <w:r>
        <w:t>GWh</w:t>
      </w:r>
      <w:r w:rsidRPr="00A2001B">
        <w:t>)</w:t>
      </w:r>
      <w:r>
        <w:rPr>
          <w:b w:val="0"/>
          <w:i w:val="0"/>
        </w:rPr>
        <w:t xml:space="preserve"> </w:t>
      </w:r>
      <w:r w:rsidRPr="00313F99">
        <w:rPr>
          <w:i w:val="0"/>
          <w:vertAlign w:val="superscript"/>
        </w:rPr>
        <w:t>5</w:t>
      </w:r>
    </w:p>
    <w:p w14:paraId="793B8C98" w14:textId="77777777" w:rsidR="00BA59F4" w:rsidRPr="00B1248D" w:rsidRDefault="004158FA" w:rsidP="00BA59F4">
      <w:pPr>
        <w:spacing w:before="120"/>
        <w:jc w:val="center"/>
        <w:rPr>
          <w:noProof/>
          <w:lang w:eastAsia="en-AU"/>
        </w:rPr>
      </w:pPr>
      <w:r>
        <w:rPr>
          <w:noProof/>
          <w:lang w:val="en-US"/>
        </w:rPr>
        <w:drawing>
          <wp:inline distT="0" distB="0" distL="0" distR="0" wp14:anchorId="4E81902F" wp14:editId="5B8544DF">
            <wp:extent cx="4404360" cy="2918460"/>
            <wp:effectExtent l="19050" t="19050" r="1524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04360" cy="2918460"/>
                    </a:xfrm>
                    <a:prstGeom prst="rect">
                      <a:avLst/>
                    </a:prstGeom>
                    <a:ln>
                      <a:solidFill>
                        <a:schemeClr val="tx1"/>
                      </a:solidFill>
                    </a:ln>
                  </pic:spPr>
                </pic:pic>
              </a:graphicData>
            </a:graphic>
          </wp:inline>
        </w:drawing>
      </w:r>
    </w:p>
    <w:p w14:paraId="7C8D9F1C" w14:textId="77777777" w:rsidR="00BA59F4" w:rsidRDefault="00BA59F4" w:rsidP="00BA59F4">
      <w:pPr>
        <w:rPr>
          <w:szCs w:val="32"/>
        </w:rPr>
      </w:pPr>
    </w:p>
    <w:p w14:paraId="601DEF61" w14:textId="77777777" w:rsidR="00BA59F4" w:rsidRDefault="00BA59F4" w:rsidP="00BA59F4">
      <w:pPr>
        <w:spacing w:after="360"/>
        <w:rPr>
          <w:szCs w:val="32"/>
        </w:rPr>
      </w:pPr>
      <w:r>
        <w:rPr>
          <w:szCs w:val="32"/>
        </w:rPr>
        <w:t xml:space="preserve">Much of the current acceleration in demand for LiB’s is resulting from their use in electric vehicles.  </w:t>
      </w:r>
      <w:r w:rsidRPr="007330FC">
        <w:rPr>
          <w:szCs w:val="32"/>
        </w:rPr>
        <w:t xml:space="preserve">From </w:t>
      </w:r>
      <w:r>
        <w:rPr>
          <w:szCs w:val="32"/>
        </w:rPr>
        <w:t xml:space="preserve">approximately </w:t>
      </w:r>
      <w:r w:rsidRPr="007330FC">
        <w:rPr>
          <w:szCs w:val="32"/>
        </w:rPr>
        <w:t>0.5</w:t>
      </w:r>
      <w:r>
        <w:rPr>
          <w:szCs w:val="32"/>
        </w:rPr>
        <w:t> </w:t>
      </w:r>
      <w:r w:rsidRPr="00717E95">
        <w:t>million</w:t>
      </w:r>
      <w:r w:rsidRPr="007330FC">
        <w:rPr>
          <w:szCs w:val="32"/>
        </w:rPr>
        <w:t xml:space="preserve"> </w:t>
      </w:r>
      <w:r>
        <w:rPr>
          <w:szCs w:val="32"/>
        </w:rPr>
        <w:t>plug-in hybrid electric vehicles (</w:t>
      </w:r>
      <w:r w:rsidRPr="004502FC">
        <w:rPr>
          <w:b/>
          <w:szCs w:val="32"/>
        </w:rPr>
        <w:t>PHEV</w:t>
      </w:r>
      <w:r>
        <w:rPr>
          <w:szCs w:val="32"/>
        </w:rPr>
        <w:t>)</w:t>
      </w:r>
      <w:r w:rsidRPr="007330FC">
        <w:rPr>
          <w:szCs w:val="32"/>
        </w:rPr>
        <w:t xml:space="preserve"> and </w:t>
      </w:r>
      <w:r>
        <w:rPr>
          <w:szCs w:val="32"/>
        </w:rPr>
        <w:t>battery electric vehicles (</w:t>
      </w:r>
      <w:r w:rsidRPr="004502FC">
        <w:rPr>
          <w:b/>
          <w:szCs w:val="32"/>
        </w:rPr>
        <w:t>BEV</w:t>
      </w:r>
      <w:r>
        <w:rPr>
          <w:szCs w:val="32"/>
        </w:rPr>
        <w:t>)</w:t>
      </w:r>
      <w:r w:rsidRPr="007330FC">
        <w:rPr>
          <w:szCs w:val="32"/>
        </w:rPr>
        <w:t xml:space="preserve"> sold in 2015, demand is forecast to grow to 2</w:t>
      </w:r>
      <w:r>
        <w:rPr>
          <w:szCs w:val="32"/>
        </w:rPr>
        <w:t xml:space="preserve"> million units by 2020 and 6 million</w:t>
      </w:r>
      <w:r w:rsidRPr="007330FC">
        <w:rPr>
          <w:szCs w:val="32"/>
        </w:rPr>
        <w:t xml:space="preserve"> units by 2025</w:t>
      </w:r>
      <w:r>
        <w:rPr>
          <w:szCs w:val="32"/>
        </w:rPr>
        <w:t>.</w:t>
      </w:r>
      <w:r w:rsidRPr="007330FC">
        <w:rPr>
          <w:szCs w:val="32"/>
        </w:rPr>
        <w:t xml:space="preserve"> As battery costs fall, BEV drivetrains with higher capacity </w:t>
      </w:r>
      <w:r w:rsidRPr="007330FC">
        <w:rPr>
          <w:szCs w:val="32"/>
        </w:rPr>
        <w:lastRenderedPageBreak/>
        <w:t xml:space="preserve">batteries </w:t>
      </w:r>
      <w:r>
        <w:rPr>
          <w:szCs w:val="32"/>
        </w:rPr>
        <w:t xml:space="preserve">are expected to </w:t>
      </w:r>
      <w:r w:rsidRPr="007330FC">
        <w:rPr>
          <w:szCs w:val="32"/>
        </w:rPr>
        <w:t xml:space="preserve">replace </w:t>
      </w:r>
      <w:r w:rsidRPr="004424E8">
        <w:rPr>
          <w:szCs w:val="32"/>
        </w:rPr>
        <w:t>PHEV</w:t>
      </w:r>
      <w:r>
        <w:rPr>
          <w:szCs w:val="32"/>
        </w:rPr>
        <w:t>’s</w:t>
      </w:r>
      <w:r w:rsidRPr="004424E8">
        <w:rPr>
          <w:szCs w:val="32"/>
        </w:rPr>
        <w:t xml:space="preserve"> </w:t>
      </w:r>
      <w:r>
        <w:rPr>
          <w:szCs w:val="32"/>
        </w:rPr>
        <w:t>and hybrid electric vehicles (</w:t>
      </w:r>
      <w:r w:rsidRPr="004502FC">
        <w:rPr>
          <w:b/>
          <w:szCs w:val="32"/>
        </w:rPr>
        <w:t>HEV</w:t>
      </w:r>
      <w:r>
        <w:rPr>
          <w:szCs w:val="32"/>
        </w:rPr>
        <w:t>), further adding to demand for key raw materials.</w:t>
      </w:r>
    </w:p>
    <w:p w14:paraId="77753FF7" w14:textId="77777777" w:rsidR="00BA59F4" w:rsidRPr="00A2001B" w:rsidRDefault="00BA59F4" w:rsidP="00BA59F4">
      <w:pPr>
        <w:pStyle w:val="Caption"/>
        <w:keepNext/>
      </w:pPr>
      <w:r>
        <w:t xml:space="preserve">Figure 5: </w:t>
      </w:r>
      <w:r w:rsidRPr="007330FC">
        <w:t>Forecast Global x-EV Sales (2014 – 2025)</w:t>
      </w:r>
      <w:r w:rsidRPr="001C1629">
        <w:rPr>
          <w:rStyle w:val="FootnoteReference"/>
        </w:rPr>
        <w:t xml:space="preserve"> </w:t>
      </w:r>
      <w:r>
        <w:rPr>
          <w:rStyle w:val="FootnoteReference"/>
        </w:rPr>
        <w:footnoteReference w:id="2"/>
      </w:r>
    </w:p>
    <w:p w14:paraId="6823DDDD" w14:textId="77777777" w:rsidR="00BA59F4" w:rsidRPr="00367ABD" w:rsidRDefault="00BA59F4" w:rsidP="00BA59F4">
      <w:pPr>
        <w:spacing w:before="120"/>
        <w:jc w:val="center"/>
        <w:rPr>
          <w:noProof/>
          <w:lang w:eastAsia="en-AU"/>
        </w:rPr>
      </w:pPr>
      <w:r>
        <w:rPr>
          <w:noProof/>
          <w:lang w:val="en-US"/>
        </w:rPr>
        <w:drawing>
          <wp:inline distT="0" distB="0" distL="0" distR="0" wp14:anchorId="22B00B23" wp14:editId="56A7F550">
            <wp:extent cx="4457700" cy="2811780"/>
            <wp:effectExtent l="19050" t="19050" r="19050" b="266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0" cy="2811780"/>
                    </a:xfrm>
                    <a:prstGeom prst="rect">
                      <a:avLst/>
                    </a:prstGeom>
                    <a:noFill/>
                    <a:ln w="9525" cmpd="sng">
                      <a:solidFill>
                        <a:srgbClr val="000000"/>
                      </a:solidFill>
                      <a:miter lim="800000"/>
                      <a:headEnd/>
                      <a:tailEnd/>
                    </a:ln>
                    <a:effectLst/>
                  </pic:spPr>
                </pic:pic>
              </a:graphicData>
            </a:graphic>
          </wp:inline>
        </w:drawing>
      </w:r>
    </w:p>
    <w:p w14:paraId="4303604B" w14:textId="77777777" w:rsidR="00BA59F4" w:rsidRDefault="00BA59F4" w:rsidP="00BA59F4">
      <w:pPr>
        <w:rPr>
          <w:b/>
          <w:sz w:val="24"/>
          <w:szCs w:val="24"/>
          <w:u w:val="single"/>
        </w:rPr>
      </w:pPr>
    </w:p>
    <w:p w14:paraId="7392047F" w14:textId="77777777" w:rsidR="00BA59F4" w:rsidRPr="00363417" w:rsidRDefault="00BA59F4" w:rsidP="00BA59F4">
      <w:pPr>
        <w:pStyle w:val="Heading2"/>
      </w:pPr>
      <w:r w:rsidRPr="00363417">
        <w:t>Lithium</w:t>
      </w:r>
      <w:r>
        <w:t>-</w:t>
      </w:r>
      <w:r w:rsidRPr="00363417">
        <w:t>Ion Battery Chemistries</w:t>
      </w:r>
    </w:p>
    <w:p w14:paraId="43C36184" w14:textId="77777777" w:rsidR="00BA59F4" w:rsidRDefault="00BA59F4" w:rsidP="00BA59F4">
      <w:pPr>
        <w:rPr>
          <w:szCs w:val="32"/>
        </w:rPr>
      </w:pPr>
      <w:r>
        <w:rPr>
          <w:szCs w:val="32"/>
        </w:rPr>
        <w:t xml:space="preserve">Lithium ion cells contain a positive and a negative electrode.  </w:t>
      </w:r>
      <w:r w:rsidRPr="001D2232">
        <w:rPr>
          <w:szCs w:val="32"/>
        </w:rPr>
        <w:t xml:space="preserve">The positive electrode </w:t>
      </w:r>
      <w:r>
        <w:rPr>
          <w:szCs w:val="32"/>
        </w:rPr>
        <w:t>(cathode) is made of various formulations or ‘chemistries’ of oxidized metals</w:t>
      </w:r>
      <w:r w:rsidRPr="001D2232">
        <w:rPr>
          <w:szCs w:val="32"/>
        </w:rPr>
        <w:t>.</w:t>
      </w:r>
      <w:r>
        <w:rPr>
          <w:szCs w:val="32"/>
        </w:rPr>
        <w:t xml:space="preserve"> </w:t>
      </w:r>
      <w:r w:rsidRPr="00C01D4A">
        <w:rPr>
          <w:szCs w:val="32"/>
        </w:rPr>
        <w:t xml:space="preserve">The negative electrode is </w:t>
      </w:r>
      <w:r>
        <w:rPr>
          <w:szCs w:val="32"/>
        </w:rPr>
        <w:t xml:space="preserve">generally </w:t>
      </w:r>
      <w:r w:rsidRPr="00C01D4A">
        <w:rPr>
          <w:szCs w:val="32"/>
        </w:rPr>
        <w:t xml:space="preserve">made of </w:t>
      </w:r>
      <w:r>
        <w:rPr>
          <w:szCs w:val="32"/>
        </w:rPr>
        <w:t>carbonaceous material</w:t>
      </w:r>
      <w:r w:rsidRPr="00C01D4A">
        <w:rPr>
          <w:szCs w:val="32"/>
        </w:rPr>
        <w:t xml:space="preserve"> (</w:t>
      </w:r>
      <w:r>
        <w:rPr>
          <w:szCs w:val="32"/>
        </w:rPr>
        <w:t xml:space="preserve">natural and synthetic </w:t>
      </w:r>
      <w:r w:rsidRPr="00C01D4A">
        <w:rPr>
          <w:szCs w:val="32"/>
        </w:rPr>
        <w:t xml:space="preserve">graphite). </w:t>
      </w:r>
      <w:r w:rsidRPr="001D2232">
        <w:rPr>
          <w:szCs w:val="32"/>
        </w:rPr>
        <w:t xml:space="preserve">When the battery </w:t>
      </w:r>
      <w:r>
        <w:rPr>
          <w:szCs w:val="32"/>
        </w:rPr>
        <w:t xml:space="preserve">is </w:t>
      </w:r>
      <w:r w:rsidRPr="001D2232">
        <w:rPr>
          <w:szCs w:val="32"/>
        </w:rPr>
        <w:t>charge</w:t>
      </w:r>
      <w:r>
        <w:rPr>
          <w:szCs w:val="32"/>
        </w:rPr>
        <w:t>d</w:t>
      </w:r>
      <w:r w:rsidRPr="001D2232">
        <w:rPr>
          <w:szCs w:val="32"/>
        </w:rPr>
        <w:t xml:space="preserve">, ions of lithium move through </w:t>
      </w:r>
      <w:r>
        <w:rPr>
          <w:szCs w:val="32"/>
        </w:rPr>
        <w:t>an</w:t>
      </w:r>
      <w:r w:rsidRPr="001D2232">
        <w:rPr>
          <w:szCs w:val="32"/>
        </w:rPr>
        <w:t xml:space="preserve"> electrolyte from the </w:t>
      </w:r>
      <w:r>
        <w:rPr>
          <w:szCs w:val="32"/>
        </w:rPr>
        <w:t xml:space="preserve">cathode </w:t>
      </w:r>
      <w:r w:rsidRPr="001D2232">
        <w:rPr>
          <w:szCs w:val="32"/>
        </w:rPr>
        <w:t xml:space="preserve">to the </w:t>
      </w:r>
      <w:r>
        <w:rPr>
          <w:szCs w:val="32"/>
        </w:rPr>
        <w:t xml:space="preserve">anode </w:t>
      </w:r>
      <w:r w:rsidRPr="001D2232">
        <w:rPr>
          <w:szCs w:val="32"/>
        </w:rPr>
        <w:t xml:space="preserve">and attach to the carbon. During discharge, the lithium ions move back from the carbon </w:t>
      </w:r>
      <w:r>
        <w:rPr>
          <w:szCs w:val="32"/>
        </w:rPr>
        <w:t xml:space="preserve">anode </w:t>
      </w:r>
      <w:r w:rsidRPr="001D2232">
        <w:rPr>
          <w:szCs w:val="32"/>
        </w:rPr>
        <w:t xml:space="preserve">to the </w:t>
      </w:r>
      <w:r>
        <w:rPr>
          <w:szCs w:val="32"/>
        </w:rPr>
        <w:t>cathode (See Figure 6)</w:t>
      </w:r>
      <w:r w:rsidRPr="001D2232">
        <w:rPr>
          <w:szCs w:val="32"/>
        </w:rPr>
        <w:t>.</w:t>
      </w:r>
      <w:r w:rsidRPr="004502FC">
        <w:rPr>
          <w:szCs w:val="32"/>
        </w:rPr>
        <w:t xml:space="preserve"> </w:t>
      </w:r>
    </w:p>
    <w:p w14:paraId="3980D5A7" w14:textId="77777777" w:rsidR="00BA59F4" w:rsidRDefault="00BA59F4" w:rsidP="00BA59F4">
      <w:pPr>
        <w:rPr>
          <w:szCs w:val="32"/>
        </w:rPr>
      </w:pPr>
      <w:r>
        <w:rPr>
          <w:szCs w:val="32"/>
        </w:rPr>
        <w:t>The different battery types or ‘chemistries’ are defined by the compositions of their metalliferous cathodes.  There are five main battery chemistries which comprise the majority of the LiB market. Of those, lithium-cobalt-oxide (</w:t>
      </w:r>
      <w:r w:rsidRPr="003003FD">
        <w:rPr>
          <w:b/>
          <w:szCs w:val="32"/>
        </w:rPr>
        <w:t>LCO</w:t>
      </w:r>
      <w:r>
        <w:rPr>
          <w:szCs w:val="32"/>
        </w:rPr>
        <w:t>) is the dominant battery in portable electronic devices.  The nickel-cobalt-manganese (</w:t>
      </w:r>
      <w:r w:rsidRPr="003003FD">
        <w:rPr>
          <w:b/>
          <w:szCs w:val="32"/>
        </w:rPr>
        <w:t>NCM</w:t>
      </w:r>
      <w:r>
        <w:rPr>
          <w:szCs w:val="32"/>
        </w:rPr>
        <w:t>) and nickel-cobalt-aluminium (</w:t>
      </w:r>
      <w:r w:rsidRPr="003003FD">
        <w:rPr>
          <w:b/>
          <w:szCs w:val="32"/>
        </w:rPr>
        <w:t>NCA</w:t>
      </w:r>
      <w:r>
        <w:rPr>
          <w:szCs w:val="32"/>
        </w:rPr>
        <w:t xml:space="preserve">) chemistries are increasingly becoming the industry standard for electric vehicle applications, due to their high energy density.  </w:t>
      </w:r>
    </w:p>
    <w:p w14:paraId="1E913333" w14:textId="77777777" w:rsidR="00BA59F4" w:rsidRPr="00367ABD" w:rsidRDefault="00BA59F4" w:rsidP="00BA59F4">
      <w:pPr>
        <w:pStyle w:val="Caption"/>
        <w:keepNext/>
      </w:pPr>
      <w:r w:rsidRPr="00367ABD">
        <w:lastRenderedPageBreak/>
        <w:t>Rechargeable LiB Cell</w:t>
      </w:r>
      <w:r w:rsidRPr="00313F99">
        <w:rPr>
          <w:vertAlign w:val="superscript"/>
        </w:rPr>
        <w:footnoteReference w:id="3"/>
      </w:r>
    </w:p>
    <w:p w14:paraId="4365E29A" w14:textId="77777777" w:rsidR="00BA59F4" w:rsidRDefault="00BA59F4" w:rsidP="00BA59F4">
      <w:pPr>
        <w:spacing w:before="120"/>
        <w:jc w:val="center"/>
        <w:rPr>
          <w:noProof/>
          <w:lang w:eastAsia="en-AU"/>
        </w:rPr>
      </w:pPr>
      <w:r>
        <w:rPr>
          <w:noProof/>
          <w:lang w:val="en-US"/>
        </w:rPr>
        <w:drawing>
          <wp:inline distT="0" distB="0" distL="0" distR="0" wp14:anchorId="047ACF5D" wp14:editId="7671D954">
            <wp:extent cx="5044440" cy="2613660"/>
            <wp:effectExtent l="19050" t="19050" r="22860" b="152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4440" cy="2613660"/>
                    </a:xfrm>
                    <a:prstGeom prst="rect">
                      <a:avLst/>
                    </a:prstGeom>
                    <a:noFill/>
                    <a:ln w="9525" cmpd="sng">
                      <a:solidFill>
                        <a:srgbClr val="000000"/>
                      </a:solidFill>
                      <a:miter lim="800000"/>
                      <a:headEnd/>
                      <a:tailEnd/>
                    </a:ln>
                    <a:effectLst/>
                  </pic:spPr>
                </pic:pic>
              </a:graphicData>
            </a:graphic>
          </wp:inline>
        </w:drawing>
      </w:r>
    </w:p>
    <w:p w14:paraId="36B2F4D4" w14:textId="77777777" w:rsidR="00BA59F4" w:rsidRDefault="00BA59F4" w:rsidP="00BA59F4">
      <w:pPr>
        <w:keepNext/>
        <w:spacing w:after="0"/>
        <w:jc w:val="center"/>
        <w:rPr>
          <w:szCs w:val="32"/>
        </w:rPr>
      </w:pPr>
    </w:p>
    <w:p w14:paraId="0A673C6A" w14:textId="77777777" w:rsidR="00BA59F4" w:rsidRDefault="00BA59F4" w:rsidP="00BA59F4">
      <w:pPr>
        <w:spacing w:after="360"/>
        <w:rPr>
          <w:szCs w:val="32"/>
        </w:rPr>
      </w:pPr>
      <w:r>
        <w:rPr>
          <w:szCs w:val="32"/>
        </w:rPr>
        <w:t>In recent years, China’s automotive industry has favo</w:t>
      </w:r>
      <w:r w:rsidR="00E36BA8">
        <w:rPr>
          <w:szCs w:val="32"/>
        </w:rPr>
        <w:t>u</w:t>
      </w:r>
      <w:r>
        <w:rPr>
          <w:szCs w:val="32"/>
        </w:rPr>
        <w:t>red adoption of lithium-iron-phosphate (</w:t>
      </w:r>
      <w:r w:rsidRPr="003003FD">
        <w:rPr>
          <w:b/>
          <w:szCs w:val="32"/>
        </w:rPr>
        <w:t>LFP</w:t>
      </w:r>
      <w:r>
        <w:rPr>
          <w:szCs w:val="32"/>
        </w:rPr>
        <w:t>) and lithium-magnesium oxide (</w:t>
      </w:r>
      <w:r w:rsidRPr="003003FD">
        <w:rPr>
          <w:b/>
          <w:szCs w:val="32"/>
        </w:rPr>
        <w:t>LMO</w:t>
      </w:r>
      <w:r>
        <w:rPr>
          <w:szCs w:val="32"/>
        </w:rPr>
        <w:t xml:space="preserve">) battery chemistries.  However, there is a clear global trend to the adoption of NCM and </w:t>
      </w:r>
      <w:r w:rsidRPr="00717E95">
        <w:t>NCA</w:t>
      </w:r>
      <w:r>
        <w:rPr>
          <w:szCs w:val="32"/>
        </w:rPr>
        <w:t xml:space="preserve"> chemistry due to their higher energy densities, increased life cycle and the auto industry’s preference for passenger vehicles with longer range.  Significant growth in the LiB sector is expected to come from NCM and NCA chemistries, both of which can contain relatively high nickel and cobalt content.</w:t>
      </w:r>
      <w:r w:rsidRPr="003003FD">
        <w:rPr>
          <w:szCs w:val="32"/>
        </w:rPr>
        <w:t xml:space="preserve"> </w:t>
      </w:r>
    </w:p>
    <w:p w14:paraId="3585685A" w14:textId="77777777" w:rsidR="00BA59F4" w:rsidRPr="00A2001B" w:rsidRDefault="00BA59F4" w:rsidP="00BA59F4">
      <w:pPr>
        <w:pStyle w:val="Caption"/>
        <w:keepNext/>
      </w:pPr>
      <w:r>
        <w:t>LiB Chemistry Market Share</w:t>
      </w:r>
      <w:r w:rsidRPr="00313F99">
        <w:rPr>
          <w:vertAlign w:val="superscript"/>
        </w:rPr>
        <w:footnoteReference w:id="4"/>
      </w:r>
    </w:p>
    <w:p w14:paraId="5A01273A" w14:textId="77777777" w:rsidR="00BA59F4" w:rsidRPr="00367ABD" w:rsidRDefault="004158FA" w:rsidP="00BA59F4">
      <w:pPr>
        <w:spacing w:before="120"/>
        <w:jc w:val="center"/>
        <w:rPr>
          <w:noProof/>
          <w:lang w:eastAsia="en-AU"/>
        </w:rPr>
      </w:pPr>
      <w:r>
        <w:rPr>
          <w:noProof/>
          <w:lang w:val="en-US"/>
        </w:rPr>
        <w:drawing>
          <wp:inline distT="0" distB="0" distL="0" distR="0" wp14:anchorId="08AB74B7" wp14:editId="34A93413">
            <wp:extent cx="5731510" cy="2110126"/>
            <wp:effectExtent l="19050" t="19050" r="21590" b="234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110126"/>
                    </a:xfrm>
                    <a:prstGeom prst="rect">
                      <a:avLst/>
                    </a:prstGeom>
                    <a:ln>
                      <a:solidFill>
                        <a:schemeClr val="tx1"/>
                      </a:solidFill>
                    </a:ln>
                  </pic:spPr>
                </pic:pic>
              </a:graphicData>
            </a:graphic>
          </wp:inline>
        </w:drawing>
      </w:r>
    </w:p>
    <w:p w14:paraId="794AB070" w14:textId="77777777" w:rsidR="00BA59F4" w:rsidRDefault="00BA59F4" w:rsidP="00BA59F4">
      <w:r>
        <w:rPr>
          <w:szCs w:val="32"/>
        </w:rPr>
        <w:t xml:space="preserve">LiB cathode production requires high purity precursor materials to ensure high performance and extended battery life.  </w:t>
      </w:r>
      <w:r>
        <w:t>NCA and NCM battery</w:t>
      </w:r>
      <w:r w:rsidRPr="003003FD">
        <w:t xml:space="preserve"> </w:t>
      </w:r>
      <w:r>
        <w:t>chemistries require high purity nickel sulphate (NiSO</w:t>
      </w:r>
      <w:r w:rsidRPr="004F610D">
        <w:rPr>
          <w:vertAlign w:val="subscript"/>
        </w:rPr>
        <w:t>4</w:t>
      </w:r>
      <w:r>
        <w:t>.6H</w:t>
      </w:r>
      <w:r w:rsidRPr="004F610D">
        <w:rPr>
          <w:vertAlign w:val="subscript"/>
        </w:rPr>
        <w:t>2</w:t>
      </w:r>
      <w:r>
        <w:t>O) and cobalt sulphate (CoSO</w:t>
      </w:r>
      <w:r w:rsidRPr="004F610D">
        <w:rPr>
          <w:vertAlign w:val="subscript"/>
        </w:rPr>
        <w:t>4</w:t>
      </w:r>
      <w:r>
        <w:t>.7H</w:t>
      </w:r>
      <w:r w:rsidRPr="004F610D">
        <w:rPr>
          <w:vertAlign w:val="subscript"/>
        </w:rPr>
        <w:t>2</w:t>
      </w:r>
      <w:r>
        <w:t>O) to produce precursor materials.  LCO battery chemistry requires cobalt oxide.</w:t>
      </w:r>
    </w:p>
    <w:p w14:paraId="415FA6C2" w14:textId="77777777" w:rsidR="00BA59F4" w:rsidRDefault="00BA59F4" w:rsidP="00BA59F4"/>
    <w:p w14:paraId="0D8D33E0" w14:textId="77777777" w:rsidR="00BA59F4" w:rsidRPr="00363417" w:rsidRDefault="00BA59F4" w:rsidP="00BA59F4">
      <w:pPr>
        <w:pStyle w:val="Heading2"/>
      </w:pPr>
      <w:r w:rsidRPr="00363417">
        <w:lastRenderedPageBreak/>
        <w:t>Cathode is Critical to Battery Cost and Performance</w:t>
      </w:r>
    </w:p>
    <w:p w14:paraId="7D0BD237" w14:textId="77777777" w:rsidR="00BA59F4" w:rsidRDefault="00BA59F4" w:rsidP="00BA59F4">
      <w:r>
        <w:t>The cathode is fundamentally important to both the performance and cost-competitiveness of a lithium-ion cell.  Raw materials can represent 50%–70% of the cost of manufacturing a lithium-ion cell, depending on the chemistry adopted.  As such, nickel and cobalt can represent as much as 80% of the metal cost in the cathode, or approximately 20% of the total cell cost.</w:t>
      </w:r>
    </w:p>
    <w:p w14:paraId="498C90E0" w14:textId="77777777" w:rsidR="00BA59F4" w:rsidRDefault="00BA59F4" w:rsidP="00BA59F4">
      <w:pPr>
        <w:pStyle w:val="Caption"/>
        <w:keepNext/>
      </w:pPr>
      <w:r>
        <w:t>Estimated NCM Cell Cost Breakdown</w:t>
      </w:r>
      <w:r w:rsidRPr="00313F99">
        <w:rPr>
          <w:vertAlign w:val="superscript"/>
        </w:rPr>
        <w:footnoteReference w:id="5"/>
      </w:r>
    </w:p>
    <w:p w14:paraId="309EB5D2" w14:textId="77777777" w:rsidR="00BA59F4" w:rsidRPr="00367ABD" w:rsidRDefault="00BA59F4" w:rsidP="00BA59F4">
      <w:pPr>
        <w:spacing w:before="120"/>
        <w:jc w:val="center"/>
        <w:rPr>
          <w:noProof/>
          <w:lang w:eastAsia="en-AU"/>
        </w:rPr>
      </w:pPr>
      <w:r>
        <w:rPr>
          <w:noProof/>
          <w:lang w:val="en-US"/>
        </w:rPr>
        <w:drawing>
          <wp:inline distT="0" distB="0" distL="0" distR="0" wp14:anchorId="5A3F7B17" wp14:editId="5062186A">
            <wp:extent cx="5256695" cy="2313720"/>
            <wp:effectExtent l="19050" t="19050" r="20320" b="107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8405" cy="2318874"/>
                    </a:xfrm>
                    <a:prstGeom prst="rect">
                      <a:avLst/>
                    </a:prstGeom>
                    <a:noFill/>
                    <a:ln w="9525" cmpd="sng">
                      <a:solidFill>
                        <a:srgbClr val="000000"/>
                      </a:solidFill>
                      <a:miter lim="800000"/>
                      <a:headEnd/>
                      <a:tailEnd/>
                    </a:ln>
                    <a:effectLst/>
                  </pic:spPr>
                </pic:pic>
              </a:graphicData>
            </a:graphic>
          </wp:inline>
        </w:drawing>
      </w:r>
    </w:p>
    <w:p w14:paraId="53B207F7" w14:textId="77777777" w:rsidR="00BA59F4" w:rsidRDefault="00BA59F4" w:rsidP="00BA59F4"/>
    <w:p w14:paraId="6FE85DED" w14:textId="2B33951D" w:rsidR="00BA59F4" w:rsidRDefault="00BA59F4" w:rsidP="00BA59F4">
      <w:pPr>
        <w:rPr>
          <w:szCs w:val="32"/>
        </w:rPr>
      </w:pPr>
      <w:r>
        <w:t>The predicted growth in the LiB market means that a considerable amount of high grade nickel sulphate and cobalt sulphate will be required over the next ten years.</w:t>
      </w:r>
      <w:r w:rsidRPr="00B01BB8">
        <w:rPr>
          <w:szCs w:val="32"/>
        </w:rPr>
        <w:t xml:space="preserve"> </w:t>
      </w:r>
      <w:r>
        <w:rPr>
          <w:szCs w:val="32"/>
        </w:rPr>
        <w:t>As such, reliable and cost-competitive nickel and cobalt supply has an important role</w:t>
      </w:r>
      <w:r w:rsidR="00341C1B">
        <w:rPr>
          <w:szCs w:val="32"/>
        </w:rPr>
        <w:t xml:space="preserve"> to play in the future of LiB</w:t>
      </w:r>
      <w:bookmarkStart w:id="1" w:name="_GoBack"/>
      <w:bookmarkEnd w:id="1"/>
    </w:p>
    <w:p w14:paraId="40684D13" w14:textId="77777777" w:rsidR="00BA59F4" w:rsidRPr="00A2001B" w:rsidRDefault="00BA59F4" w:rsidP="00BA59F4">
      <w:pPr>
        <w:pStyle w:val="Caption"/>
        <w:keepNext/>
      </w:pPr>
      <w:r>
        <w:rPr>
          <w:szCs w:val="32"/>
        </w:rPr>
        <w:lastRenderedPageBreak/>
        <w:t xml:space="preserve"> </w:t>
      </w:r>
      <w:r>
        <w:t>LiB Cathode Raw Material Demand</w:t>
      </w:r>
      <w:r w:rsidRPr="00313F99">
        <w:rPr>
          <w:vertAlign w:val="superscript"/>
        </w:rPr>
        <w:footnoteReference w:id="6"/>
      </w:r>
    </w:p>
    <w:p w14:paraId="7C61B507" w14:textId="77777777" w:rsidR="00BA59F4" w:rsidRPr="00BA59F4" w:rsidRDefault="00CA50DC" w:rsidP="00BA59F4">
      <w:pPr>
        <w:spacing w:before="120"/>
        <w:jc w:val="center"/>
        <w:rPr>
          <w:noProof/>
          <w:lang w:eastAsia="en-AU"/>
        </w:rPr>
      </w:pPr>
      <w:r>
        <w:rPr>
          <w:noProof/>
          <w:lang w:val="en-US"/>
        </w:rPr>
        <w:drawing>
          <wp:inline distT="0" distB="0" distL="0" distR="0" wp14:anchorId="5E4F8C66" wp14:editId="2CCA027E">
            <wp:extent cx="5097780" cy="3078480"/>
            <wp:effectExtent l="19050" t="19050" r="26670" b="266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97780" cy="3078480"/>
                    </a:xfrm>
                    <a:prstGeom prst="rect">
                      <a:avLst/>
                    </a:prstGeom>
                    <a:ln>
                      <a:solidFill>
                        <a:schemeClr val="tx1"/>
                      </a:solidFill>
                    </a:ln>
                  </pic:spPr>
                </pic:pic>
              </a:graphicData>
            </a:graphic>
          </wp:inline>
        </w:drawing>
      </w:r>
    </w:p>
    <w:p w14:paraId="4B6AD9A9" w14:textId="77777777" w:rsidR="00BA59F4" w:rsidRDefault="00BA59F4" w:rsidP="00BA59F4">
      <w:r>
        <w:t>While there is a large and established market for nickel which is driven by the global steel sector, almost all the world’s cobalt is produced as a by-product from nickel and copper mines.  For this reason, cobalt stands apart as one of the few metals consumed at industrial-scale that has almost no source of primary supply.  Global refined production in 2015 was in the order of 90,000 tonnes</w:t>
      </w:r>
      <w:r>
        <w:rPr>
          <w:rStyle w:val="FootnoteReference"/>
          <w:szCs w:val="32"/>
        </w:rPr>
        <w:footnoteReference w:id="7"/>
      </w:r>
      <w:r>
        <w:t xml:space="preserve"> of contained cobalt, a large portion of which was exported to, and processed in, China.  To meet the demands of the </w:t>
      </w:r>
      <w:r w:rsidRPr="00717E95">
        <w:t>growing</w:t>
      </w:r>
      <w:r>
        <w:t xml:space="preserve"> LiB market, there will need to be a significant increase in global supply of cobalt.  At a time when nickel and copper prices are at or near long-term historic lows, this presents real challenges for cobalt supply, as seen in recent or pending mine and refinery closures in Africa (Katanga Mining) and Australia (QNI).</w:t>
      </w:r>
    </w:p>
    <w:p w14:paraId="5D2CF5A5" w14:textId="77777777" w:rsidR="00BA59F4" w:rsidRPr="00BA59F4" w:rsidRDefault="00BA59F4" w:rsidP="00BA59F4">
      <w:r>
        <w:t xml:space="preserve">In addition to the risk through by-product dependence, global cobalt supply is heavily concentrated in the </w:t>
      </w:r>
      <w:r w:rsidRPr="00B01BB8">
        <w:t>D</w:t>
      </w:r>
      <w:r>
        <w:t xml:space="preserve">emocratic </w:t>
      </w:r>
      <w:r w:rsidRPr="00B01BB8">
        <w:t>R</w:t>
      </w:r>
      <w:r>
        <w:t xml:space="preserve">epublic of </w:t>
      </w:r>
      <w:r w:rsidRPr="00B01BB8">
        <w:t>C</w:t>
      </w:r>
      <w:r>
        <w:t>ongo</w:t>
      </w:r>
      <w:r w:rsidRPr="00B01BB8">
        <w:t xml:space="preserve"> </w:t>
      </w:r>
      <w:r>
        <w:t>(DRC).  In 2015 production sources in the DRC represented 65% of global mined cobalt supply. A large portion of this production was from artisanal mining operations involving child labour.</w:t>
      </w:r>
      <w:r>
        <w:rPr>
          <w:rStyle w:val="FootnoteReference"/>
        </w:rPr>
        <w:footnoteReference w:id="8"/>
      </w:r>
      <w:r>
        <w:t xml:space="preserve"> While cobalt is not listed as a ‘conflict mineral’, the LiB industry is under increasing pressure to demonstrate an auditable cobalt supply chain to ensure that responsible procurement practices are adopted.  </w:t>
      </w:r>
    </w:p>
    <w:p w14:paraId="20D89F33" w14:textId="77777777" w:rsidR="00BA59F4" w:rsidRDefault="00BA59F4" w:rsidP="00BA59F4">
      <w:r w:rsidRPr="00B01BB8">
        <w:t xml:space="preserve">A </w:t>
      </w:r>
      <w:r>
        <w:t>recent</w:t>
      </w:r>
      <w:r w:rsidRPr="00B01BB8">
        <w:t xml:space="preserve"> report by Amnesty International and Afrewatch, </w:t>
      </w:r>
      <w:r>
        <w:t>“</w:t>
      </w:r>
      <w:r w:rsidRPr="007905CB">
        <w:rPr>
          <w:i/>
        </w:rPr>
        <w:t>This is what we die for: Human rights abuses in the Democratic Republic of the Congo power the global trade in cobalt</w:t>
      </w:r>
      <w:r>
        <w:rPr>
          <w:i/>
        </w:rPr>
        <w:t>”</w:t>
      </w:r>
      <w:r w:rsidRPr="00B01BB8">
        <w:t xml:space="preserve">, </w:t>
      </w:r>
      <w:r>
        <w:t>highlighted the child labour practices adopted in many of the artisanal mines and urged the global electronics and automotive industries to provide better auditing of their supply chains.  See:</w:t>
      </w:r>
    </w:p>
    <w:p w14:paraId="31601C5A" w14:textId="77777777" w:rsidR="00BA59F4" w:rsidRDefault="00991E8B" w:rsidP="00BA59F4">
      <w:hyperlink r:id="rId13" w:history="1">
        <w:r w:rsidR="00BA59F4" w:rsidRPr="007B1601">
          <w:rPr>
            <w:rStyle w:val="Hyperlink"/>
          </w:rPr>
          <w:t>http://www.amnesty.org.au/images/uploads/about/Amnesty_report_2016_Human_rights_abuses_in_DRC_power_global_cobalt_trade.pdf</w:t>
        </w:r>
      </w:hyperlink>
    </w:p>
    <w:p w14:paraId="4F2C84B5" w14:textId="77777777" w:rsidR="00BA59F4" w:rsidRDefault="00BA59F4" w:rsidP="00BA59F4">
      <w:r>
        <w:lastRenderedPageBreak/>
        <w:t xml:space="preserve">Syerston’s high cobalt grades, combined with Clean TeQ’s proprietary ion exchange technology to produce the specific cobalt and nickel sulphates required by lithium-ion cell manufacturers, positions the Company to benefit from strong forecast growth in demand for LiB’s.  </w:t>
      </w:r>
    </w:p>
    <w:p w14:paraId="79EBEFB0" w14:textId="77777777" w:rsidR="00EF12AF" w:rsidRPr="001F75B6" w:rsidRDefault="00EF12AF" w:rsidP="00D910C6"/>
    <w:p w14:paraId="6B572E44" w14:textId="77777777" w:rsidR="00627A67" w:rsidRDefault="00627A67"/>
    <w:sectPr w:rsidR="00627A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36C2E" w14:textId="77777777" w:rsidR="00991E8B" w:rsidRDefault="00991E8B" w:rsidP="00724E49">
      <w:pPr>
        <w:spacing w:after="0" w:line="240" w:lineRule="auto"/>
      </w:pPr>
      <w:r>
        <w:separator/>
      </w:r>
    </w:p>
  </w:endnote>
  <w:endnote w:type="continuationSeparator" w:id="0">
    <w:p w14:paraId="1399296D" w14:textId="77777777" w:rsidR="00991E8B" w:rsidRDefault="00991E8B" w:rsidP="0072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PMingLiU">
    <w:panose1 w:val="02020500000000000000"/>
    <w:charset w:val="88"/>
    <w:family w:val="auto"/>
    <w:pitch w:val="variable"/>
    <w:sig w:usb0="A00002FF" w:usb1="28CFFCFA" w:usb2="00000016" w:usb3="00000000" w:csb0="00100001"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B9765" w14:textId="77777777" w:rsidR="00991E8B" w:rsidRDefault="00991E8B" w:rsidP="00724E49">
      <w:pPr>
        <w:spacing w:after="0" w:line="240" w:lineRule="auto"/>
      </w:pPr>
      <w:r>
        <w:separator/>
      </w:r>
    </w:p>
  </w:footnote>
  <w:footnote w:type="continuationSeparator" w:id="0">
    <w:p w14:paraId="5EA9C34A" w14:textId="77777777" w:rsidR="00991E8B" w:rsidRDefault="00991E8B" w:rsidP="00724E49">
      <w:pPr>
        <w:spacing w:after="0" w:line="240" w:lineRule="auto"/>
      </w:pPr>
      <w:r>
        <w:continuationSeparator/>
      </w:r>
    </w:p>
  </w:footnote>
  <w:footnote w:id="1">
    <w:p w14:paraId="5C5EE6B6" w14:textId="77777777" w:rsidR="00EC2D26" w:rsidRDefault="00EC2D26" w:rsidP="004158FA">
      <w:pPr>
        <w:pStyle w:val="FootnoteText"/>
      </w:pPr>
      <w:r w:rsidRPr="004E6FB2">
        <w:rPr>
          <w:rStyle w:val="FootnoteReference"/>
          <w:i/>
          <w:sz w:val="16"/>
          <w:szCs w:val="16"/>
        </w:rPr>
        <w:footnoteRef/>
      </w:r>
      <w:r w:rsidRPr="004E6FB2">
        <w:rPr>
          <w:i/>
          <w:sz w:val="16"/>
          <w:szCs w:val="16"/>
        </w:rPr>
        <w:t xml:space="preserve"> </w:t>
      </w:r>
      <w:r w:rsidRPr="004158FA">
        <w:rPr>
          <w:i/>
          <w:sz w:val="16"/>
          <w:szCs w:val="16"/>
        </w:rPr>
        <w:t>Source: Avicenne Energy Analysis 2014</w:t>
      </w:r>
      <w:r w:rsidR="004158FA" w:rsidRPr="004158FA">
        <w:rPr>
          <w:i/>
          <w:sz w:val="16"/>
          <w:szCs w:val="16"/>
        </w:rPr>
        <w:t xml:space="preserve"> et al</w:t>
      </w:r>
      <w:r w:rsidR="004158FA">
        <w:rPr>
          <w:i/>
          <w:sz w:val="16"/>
          <w:szCs w:val="16"/>
        </w:rPr>
        <w:t xml:space="preserve"> as indicated</w:t>
      </w:r>
      <w:r w:rsidR="004158FA" w:rsidRPr="004158FA">
        <w:rPr>
          <w:i/>
          <w:sz w:val="16"/>
          <w:szCs w:val="16"/>
        </w:rPr>
        <w:t>.  Avicenne estimates include China Auto Upside case.</w:t>
      </w:r>
    </w:p>
  </w:footnote>
  <w:footnote w:id="2">
    <w:p w14:paraId="3FC5ABDC" w14:textId="77777777" w:rsidR="00EC2D26" w:rsidRDefault="00EC2D26" w:rsidP="00BA59F4">
      <w:pPr>
        <w:pStyle w:val="FootnoteText"/>
      </w:pPr>
      <w:r w:rsidRPr="00B03FEC">
        <w:rPr>
          <w:rStyle w:val="FootnoteReference"/>
          <w:i/>
          <w:sz w:val="16"/>
        </w:rPr>
        <w:footnoteRef/>
      </w:r>
      <w:r w:rsidRPr="00B03FEC">
        <w:rPr>
          <w:i/>
          <w:sz w:val="16"/>
        </w:rPr>
        <w:t xml:space="preserve"> Source: </w:t>
      </w:r>
      <w:r>
        <w:rPr>
          <w:i/>
          <w:sz w:val="16"/>
        </w:rPr>
        <w:t>Deutsche Bank research</w:t>
      </w:r>
      <w:r w:rsidRPr="007330FC">
        <w:rPr>
          <w:i/>
          <w:sz w:val="16"/>
        </w:rPr>
        <w:t xml:space="preserve"> 2016</w:t>
      </w:r>
    </w:p>
  </w:footnote>
  <w:footnote w:id="3">
    <w:p w14:paraId="1D5EE54D" w14:textId="77777777" w:rsidR="00EC2D26" w:rsidRDefault="00EC2D26" w:rsidP="00BA59F4">
      <w:pPr>
        <w:pStyle w:val="FootnoteText"/>
      </w:pPr>
      <w:r w:rsidRPr="007073E1">
        <w:rPr>
          <w:rStyle w:val="FootnoteReference"/>
          <w:rFonts w:cs="Arial Unicode MS"/>
          <w:i/>
          <w:sz w:val="16"/>
          <w:szCs w:val="16"/>
        </w:rPr>
        <w:footnoteRef/>
      </w:r>
      <w:r w:rsidRPr="007073E1">
        <w:rPr>
          <w:rStyle w:val="FootnoteReference"/>
          <w:rFonts w:cs="Arial Unicode MS"/>
          <w:i/>
          <w:sz w:val="16"/>
          <w:szCs w:val="16"/>
        </w:rPr>
        <w:t xml:space="preserve"> </w:t>
      </w:r>
      <w:r w:rsidRPr="007073E1">
        <w:rPr>
          <w:rFonts w:cs="Arial Unicode MS"/>
          <w:i/>
          <w:sz w:val="16"/>
          <w:szCs w:val="16"/>
        </w:rPr>
        <w:t>Source: Stephen Evanczuk, DigiKey Electronics</w:t>
      </w:r>
    </w:p>
  </w:footnote>
  <w:footnote w:id="4">
    <w:p w14:paraId="5C8F6E4C" w14:textId="77777777" w:rsidR="00EC2D26" w:rsidRDefault="00EC2D26" w:rsidP="00BA59F4">
      <w:pPr>
        <w:pStyle w:val="FootnoteText"/>
      </w:pPr>
      <w:r w:rsidRPr="00F62CA4">
        <w:rPr>
          <w:rStyle w:val="FootnoteReference"/>
          <w:sz w:val="16"/>
          <w:szCs w:val="16"/>
        </w:rPr>
        <w:footnoteRef/>
      </w:r>
      <w:r w:rsidRPr="00F62CA4">
        <w:rPr>
          <w:sz w:val="16"/>
          <w:szCs w:val="16"/>
        </w:rPr>
        <w:t xml:space="preserve"> </w:t>
      </w:r>
      <w:r w:rsidRPr="00575A3D">
        <w:rPr>
          <w:i/>
          <w:sz w:val="16"/>
          <w:szCs w:val="16"/>
        </w:rPr>
        <w:t>Source</w:t>
      </w:r>
      <w:r w:rsidRPr="003003FD">
        <w:rPr>
          <w:i/>
          <w:sz w:val="16"/>
          <w:szCs w:val="16"/>
        </w:rPr>
        <w:t>: Avicenne Energy Analysis 2014</w:t>
      </w:r>
    </w:p>
  </w:footnote>
  <w:footnote w:id="5">
    <w:p w14:paraId="058743B6" w14:textId="77777777" w:rsidR="00EC2D26" w:rsidRDefault="00EC2D26" w:rsidP="00BA59F4">
      <w:pPr>
        <w:pStyle w:val="FootnoteText"/>
      </w:pPr>
      <w:r w:rsidRPr="003E5F0B">
        <w:rPr>
          <w:rStyle w:val="FootnoteReference"/>
          <w:sz w:val="16"/>
          <w:szCs w:val="16"/>
        </w:rPr>
        <w:footnoteRef/>
      </w:r>
      <w:r w:rsidRPr="003E5F0B">
        <w:rPr>
          <w:sz w:val="16"/>
          <w:szCs w:val="16"/>
        </w:rPr>
        <w:t xml:space="preserve"> </w:t>
      </w:r>
      <w:r w:rsidRPr="003E5F0B">
        <w:rPr>
          <w:i/>
          <w:sz w:val="16"/>
          <w:szCs w:val="16"/>
        </w:rPr>
        <w:t>Source: Roland Berger (2012) and internal analysis.  Assumes a 96Wh PHEV cell (26Ah, 3.7W) using NCM622 cathode chemistry.  Cathode cost includes non-metallic materials (carbon black, binder, foil).  Internal assumptions concerning split of costs assumes average long-term prices of Ni US$7.00/lb; Co US$12.00/lb; Mn US$1.00/lb; Li US$6.50/kg (as LCE).</w:t>
      </w:r>
    </w:p>
  </w:footnote>
  <w:footnote w:id="6">
    <w:p w14:paraId="313D5863" w14:textId="77777777" w:rsidR="00EC2D26" w:rsidRDefault="00EC2D26" w:rsidP="00CA50DC">
      <w:pPr>
        <w:pStyle w:val="FootnoteText"/>
      </w:pPr>
      <w:r w:rsidRPr="003E5F0B">
        <w:rPr>
          <w:rStyle w:val="FootnoteReference"/>
          <w:sz w:val="16"/>
          <w:szCs w:val="16"/>
        </w:rPr>
        <w:footnoteRef/>
      </w:r>
      <w:r w:rsidRPr="003E5F0B">
        <w:rPr>
          <w:sz w:val="16"/>
          <w:szCs w:val="16"/>
        </w:rPr>
        <w:t xml:space="preserve"> Source: Avicenne Energy Analysis 2014.  </w:t>
      </w:r>
      <w:r w:rsidR="00CA50DC" w:rsidRPr="00CA50DC">
        <w:rPr>
          <w:sz w:val="16"/>
          <w:szCs w:val="16"/>
        </w:rPr>
        <w:t>2025 case based on internal company estimates, utilising an</w:t>
      </w:r>
      <w:r w:rsidR="00CA50DC">
        <w:rPr>
          <w:sz w:val="16"/>
          <w:szCs w:val="16"/>
        </w:rPr>
        <w:t xml:space="preserve"> </w:t>
      </w:r>
      <w:r w:rsidR="00CA50DC" w:rsidRPr="00CA50DC">
        <w:rPr>
          <w:sz w:val="16"/>
          <w:szCs w:val="16"/>
        </w:rPr>
        <w:t>EV adoption rate based on the average from five banks and industry consultant forecasts: HEV 5.7m, PHEV 2.7m,</w:t>
      </w:r>
      <w:r w:rsidR="00CA50DC">
        <w:rPr>
          <w:sz w:val="16"/>
          <w:szCs w:val="16"/>
        </w:rPr>
        <w:t xml:space="preserve"> </w:t>
      </w:r>
      <w:r w:rsidR="00CA50DC" w:rsidRPr="00CA50DC">
        <w:rPr>
          <w:sz w:val="16"/>
          <w:szCs w:val="16"/>
        </w:rPr>
        <w:t>BEV 3.6m. EV applications forecast at 215 GWh. Non-EV applications forecast at 135GWh. Assumes an average</w:t>
      </w:r>
      <w:r w:rsidR="00CA50DC">
        <w:rPr>
          <w:sz w:val="16"/>
          <w:szCs w:val="16"/>
        </w:rPr>
        <w:t xml:space="preserve"> </w:t>
      </w:r>
      <w:r w:rsidR="00CA50DC" w:rsidRPr="00CA50DC">
        <w:rPr>
          <w:sz w:val="16"/>
          <w:szCs w:val="16"/>
        </w:rPr>
        <w:t>battery size of 50kWh/BEV.</w:t>
      </w:r>
    </w:p>
  </w:footnote>
  <w:footnote w:id="7">
    <w:p w14:paraId="19749B72" w14:textId="77777777" w:rsidR="00EC2D26" w:rsidRDefault="00EC2D26" w:rsidP="00BA59F4">
      <w:pPr>
        <w:pStyle w:val="FootnoteText"/>
      </w:pPr>
      <w:r w:rsidRPr="007073E1">
        <w:rPr>
          <w:rStyle w:val="FootnoteReference"/>
          <w:i/>
          <w:sz w:val="16"/>
          <w:szCs w:val="16"/>
        </w:rPr>
        <w:footnoteRef/>
      </w:r>
      <w:r w:rsidRPr="007073E1">
        <w:rPr>
          <w:i/>
          <w:sz w:val="16"/>
          <w:szCs w:val="16"/>
        </w:rPr>
        <w:t xml:space="preserve"> </w:t>
      </w:r>
      <w:r w:rsidRPr="00B01BB8">
        <w:rPr>
          <w:i/>
          <w:sz w:val="16"/>
          <w:szCs w:val="16"/>
        </w:rPr>
        <w:t xml:space="preserve">Source: </w:t>
      </w:r>
      <w:r>
        <w:rPr>
          <w:i/>
          <w:sz w:val="16"/>
          <w:szCs w:val="16"/>
        </w:rPr>
        <w:t>Darton Commodities, “Global Cobalt Review, 2015–2016”</w:t>
      </w:r>
    </w:p>
  </w:footnote>
  <w:footnote w:id="8">
    <w:p w14:paraId="297C10D9" w14:textId="77777777" w:rsidR="00EC2D26" w:rsidRDefault="00EC2D26" w:rsidP="00BA59F4">
      <w:pPr>
        <w:pStyle w:val="FootnoteText"/>
      </w:pPr>
      <w:r w:rsidRPr="00B01BB8">
        <w:rPr>
          <w:rStyle w:val="FootnoteReference"/>
          <w:i/>
          <w:sz w:val="16"/>
          <w:szCs w:val="16"/>
        </w:rPr>
        <w:footnoteRef/>
      </w:r>
      <w:r w:rsidRPr="00B01BB8">
        <w:rPr>
          <w:i/>
          <w:sz w:val="16"/>
          <w:szCs w:val="16"/>
        </w:rPr>
        <w:t xml:space="preserve"> Source: </w:t>
      </w:r>
      <w:r>
        <w:rPr>
          <w:i/>
          <w:sz w:val="16"/>
          <w:szCs w:val="16"/>
        </w:rPr>
        <w:t>Darton Commodities, “Global Cobalt Review, 2015-2016”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10A"/>
    <w:multiLevelType w:val="hybridMultilevel"/>
    <w:tmpl w:val="0A24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B516F6"/>
    <w:multiLevelType w:val="hybridMultilevel"/>
    <w:tmpl w:val="FB28C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725D2C"/>
    <w:multiLevelType w:val="multilevel"/>
    <w:tmpl w:val="421E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11C51"/>
    <w:multiLevelType w:val="multilevel"/>
    <w:tmpl w:val="0B9A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374A5"/>
    <w:multiLevelType w:val="multilevel"/>
    <w:tmpl w:val="3B96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62792"/>
    <w:multiLevelType w:val="multilevel"/>
    <w:tmpl w:val="7604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065BB"/>
    <w:multiLevelType w:val="multilevel"/>
    <w:tmpl w:val="1AD4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645E6"/>
    <w:multiLevelType w:val="multilevel"/>
    <w:tmpl w:val="A916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A01D9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A48558D"/>
    <w:multiLevelType w:val="multilevel"/>
    <w:tmpl w:val="AE9A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2E6191"/>
    <w:multiLevelType w:val="multilevel"/>
    <w:tmpl w:val="7FC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10A37"/>
    <w:multiLevelType w:val="multilevel"/>
    <w:tmpl w:val="0C64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DF6DAF"/>
    <w:multiLevelType w:val="hybridMultilevel"/>
    <w:tmpl w:val="61F0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B97CA3"/>
    <w:multiLevelType w:val="multilevel"/>
    <w:tmpl w:val="9A7C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526E85"/>
    <w:multiLevelType w:val="hybridMultilevel"/>
    <w:tmpl w:val="4918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9176A3"/>
    <w:multiLevelType w:val="multilevel"/>
    <w:tmpl w:val="1CAE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481D2B"/>
    <w:multiLevelType w:val="multilevel"/>
    <w:tmpl w:val="6C74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EF7EAA"/>
    <w:multiLevelType w:val="multilevel"/>
    <w:tmpl w:val="489A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B65D4D"/>
    <w:multiLevelType w:val="hybridMultilevel"/>
    <w:tmpl w:val="1E46E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3420ACD"/>
    <w:multiLevelType w:val="multilevel"/>
    <w:tmpl w:val="1ADA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F85F3A"/>
    <w:multiLevelType w:val="multilevel"/>
    <w:tmpl w:val="F62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883825"/>
    <w:multiLevelType w:val="multilevel"/>
    <w:tmpl w:val="25A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86054B"/>
    <w:multiLevelType w:val="multilevel"/>
    <w:tmpl w:val="95A4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602A14"/>
    <w:multiLevelType w:val="multilevel"/>
    <w:tmpl w:val="EEF8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
  </w:num>
  <w:num w:numId="3">
    <w:abstractNumId w:val="13"/>
  </w:num>
  <w:num w:numId="4">
    <w:abstractNumId w:val="22"/>
  </w:num>
  <w:num w:numId="5">
    <w:abstractNumId w:val="16"/>
  </w:num>
  <w:num w:numId="6">
    <w:abstractNumId w:val="15"/>
  </w:num>
  <w:num w:numId="7">
    <w:abstractNumId w:val="2"/>
  </w:num>
  <w:num w:numId="8">
    <w:abstractNumId w:val="5"/>
  </w:num>
  <w:num w:numId="9">
    <w:abstractNumId w:val="19"/>
  </w:num>
  <w:num w:numId="10">
    <w:abstractNumId w:val="4"/>
  </w:num>
  <w:num w:numId="11">
    <w:abstractNumId w:val="11"/>
  </w:num>
  <w:num w:numId="12">
    <w:abstractNumId w:val="6"/>
  </w:num>
  <w:num w:numId="13">
    <w:abstractNumId w:val="9"/>
  </w:num>
  <w:num w:numId="14">
    <w:abstractNumId w:val="3"/>
  </w:num>
  <w:num w:numId="15">
    <w:abstractNumId w:val="10"/>
  </w:num>
  <w:num w:numId="16">
    <w:abstractNumId w:val="17"/>
  </w:num>
  <w:num w:numId="17">
    <w:abstractNumId w:val="23"/>
  </w:num>
  <w:num w:numId="18">
    <w:abstractNumId w:val="20"/>
  </w:num>
  <w:num w:numId="19">
    <w:abstractNumId w:val="8"/>
  </w:num>
  <w:num w:numId="20">
    <w:abstractNumId w:val="0"/>
  </w:num>
  <w:num w:numId="21">
    <w:abstractNumId w:val="12"/>
  </w:num>
  <w:num w:numId="22">
    <w:abstractNumId w:val="18"/>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67"/>
    <w:rsid w:val="00006A6E"/>
    <w:rsid w:val="000116F5"/>
    <w:rsid w:val="00014FEA"/>
    <w:rsid w:val="000A0A8E"/>
    <w:rsid w:val="001021FA"/>
    <w:rsid w:val="00123C5D"/>
    <w:rsid w:val="00164F21"/>
    <w:rsid w:val="00242244"/>
    <w:rsid w:val="002C2117"/>
    <w:rsid w:val="003326AE"/>
    <w:rsid w:val="00341C1B"/>
    <w:rsid w:val="00393875"/>
    <w:rsid w:val="004158FA"/>
    <w:rsid w:val="0042784A"/>
    <w:rsid w:val="004E4576"/>
    <w:rsid w:val="00572FAF"/>
    <w:rsid w:val="005831FC"/>
    <w:rsid w:val="0062100D"/>
    <w:rsid w:val="00627A67"/>
    <w:rsid w:val="00651FE6"/>
    <w:rsid w:val="006967A3"/>
    <w:rsid w:val="006C09C4"/>
    <w:rsid w:val="006D3EC8"/>
    <w:rsid w:val="00724E49"/>
    <w:rsid w:val="00761EC7"/>
    <w:rsid w:val="00784524"/>
    <w:rsid w:val="007B1CEE"/>
    <w:rsid w:val="007D2A74"/>
    <w:rsid w:val="008075C8"/>
    <w:rsid w:val="00851BD2"/>
    <w:rsid w:val="00853310"/>
    <w:rsid w:val="00916C49"/>
    <w:rsid w:val="00991E8B"/>
    <w:rsid w:val="009F3A71"/>
    <w:rsid w:val="00AF2AA6"/>
    <w:rsid w:val="00B42E47"/>
    <w:rsid w:val="00B44E49"/>
    <w:rsid w:val="00BA59F4"/>
    <w:rsid w:val="00C07EC3"/>
    <w:rsid w:val="00C30731"/>
    <w:rsid w:val="00C67444"/>
    <w:rsid w:val="00CA50DC"/>
    <w:rsid w:val="00CF15BC"/>
    <w:rsid w:val="00D34DF4"/>
    <w:rsid w:val="00D74721"/>
    <w:rsid w:val="00D910C6"/>
    <w:rsid w:val="00E36BA8"/>
    <w:rsid w:val="00EA3E15"/>
    <w:rsid w:val="00EC2D26"/>
    <w:rsid w:val="00EF12AF"/>
    <w:rsid w:val="00F1384B"/>
    <w:rsid w:val="00F746F0"/>
    <w:rsid w:val="00F80629"/>
    <w:rsid w:val="00F817BE"/>
    <w:rsid w:val="00FC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4A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EC8"/>
    <w:pPr>
      <w:spacing w:after="120" w:line="264" w:lineRule="auto"/>
      <w:jc w:val="both"/>
    </w:pPr>
    <w:rPr>
      <w:rFonts w:ascii="Arial" w:hAnsi="Arial"/>
    </w:rPr>
  </w:style>
  <w:style w:type="paragraph" w:styleId="Heading1">
    <w:name w:val="heading 1"/>
    <w:basedOn w:val="Normal"/>
    <w:link w:val="Heading1Char"/>
    <w:uiPriority w:val="9"/>
    <w:qFormat/>
    <w:rsid w:val="009F3A71"/>
    <w:pPr>
      <w:spacing w:before="100" w:beforeAutospacing="1" w:after="100" w:afterAutospacing="1" w:line="240" w:lineRule="auto"/>
      <w:outlineLvl w:val="0"/>
    </w:pPr>
    <w:rPr>
      <w:rFonts w:eastAsia="Times New Roman" w:cs="Times New Roman"/>
      <w:b/>
      <w:bCs/>
      <w:kern w:val="36"/>
      <w:sz w:val="40"/>
      <w:szCs w:val="48"/>
      <w:lang w:eastAsia="en-AU"/>
    </w:rPr>
  </w:style>
  <w:style w:type="paragraph" w:styleId="Heading2">
    <w:name w:val="heading 2"/>
    <w:basedOn w:val="Normal"/>
    <w:next w:val="Normal"/>
    <w:link w:val="Heading2Char"/>
    <w:uiPriority w:val="9"/>
    <w:unhideWhenUsed/>
    <w:qFormat/>
    <w:rsid w:val="009F3A71"/>
    <w:pPr>
      <w:keepNext/>
      <w:keepLines/>
      <w:spacing w:before="40" w:after="240"/>
      <w:outlineLvl w:val="1"/>
    </w:pPr>
    <w:rPr>
      <w:rFonts w:eastAsiaTheme="majorEastAsia" w:cstheme="majorBidi"/>
      <w:sz w:val="28"/>
      <w:szCs w:val="26"/>
    </w:rPr>
  </w:style>
  <w:style w:type="paragraph" w:styleId="Heading3">
    <w:name w:val="heading 3"/>
    <w:basedOn w:val="Normal"/>
    <w:link w:val="Heading3Char"/>
    <w:uiPriority w:val="9"/>
    <w:qFormat/>
    <w:rsid w:val="009F3A71"/>
    <w:pPr>
      <w:spacing w:before="100" w:beforeAutospacing="1" w:after="100" w:afterAutospacing="1" w:line="240" w:lineRule="auto"/>
      <w:outlineLvl w:val="2"/>
    </w:pPr>
    <w:rPr>
      <w:rFonts w:eastAsia="Times New Roman" w:cs="Times New Roman"/>
      <w:b/>
      <w:bCs/>
      <w:sz w:val="24"/>
      <w:szCs w:val="27"/>
      <w:lang w:eastAsia="en-AU"/>
    </w:rPr>
  </w:style>
  <w:style w:type="paragraph" w:styleId="Heading4">
    <w:name w:val="heading 4"/>
    <w:basedOn w:val="Normal"/>
    <w:next w:val="Normal"/>
    <w:link w:val="Heading4Char"/>
    <w:uiPriority w:val="9"/>
    <w:semiHidden/>
    <w:unhideWhenUsed/>
    <w:qFormat/>
    <w:rsid w:val="006D3EC8"/>
    <w:pPr>
      <w:keepNext/>
      <w:keepLines/>
      <w:numPr>
        <w:ilvl w:val="3"/>
        <w:numId w:val="1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27A67"/>
    <w:pPr>
      <w:keepNext/>
      <w:keepLines/>
      <w:numPr>
        <w:ilvl w:val="4"/>
        <w:numId w:val="1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D3EC8"/>
    <w:pPr>
      <w:keepNext/>
      <w:keepLines/>
      <w:numPr>
        <w:ilvl w:val="5"/>
        <w:numId w:val="1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D3EC8"/>
    <w:pPr>
      <w:keepNext/>
      <w:keepLines/>
      <w:numPr>
        <w:ilvl w:val="6"/>
        <w:numId w:val="1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D3EC8"/>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3EC8"/>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C8"/>
    <w:rPr>
      <w:rFonts w:ascii="Arial" w:eastAsia="Times New Roman" w:hAnsi="Arial" w:cs="Times New Roman"/>
      <w:b/>
      <w:bCs/>
      <w:kern w:val="36"/>
      <w:sz w:val="40"/>
      <w:szCs w:val="48"/>
      <w:lang w:eastAsia="en-AU"/>
    </w:rPr>
  </w:style>
  <w:style w:type="character" w:customStyle="1" w:styleId="Heading3Char">
    <w:name w:val="Heading 3 Char"/>
    <w:basedOn w:val="DefaultParagraphFont"/>
    <w:link w:val="Heading3"/>
    <w:uiPriority w:val="9"/>
    <w:rsid w:val="009F3A71"/>
    <w:rPr>
      <w:rFonts w:ascii="Arial" w:eastAsia="Times New Roman" w:hAnsi="Arial" w:cs="Times New Roman"/>
      <w:b/>
      <w:bCs/>
      <w:sz w:val="24"/>
      <w:szCs w:val="27"/>
      <w:lang w:eastAsia="en-AU"/>
    </w:rPr>
  </w:style>
  <w:style w:type="paragraph" w:styleId="NormalWeb">
    <w:name w:val="Normal (Web)"/>
    <w:basedOn w:val="Normal"/>
    <w:uiPriority w:val="99"/>
    <w:semiHidden/>
    <w:unhideWhenUsed/>
    <w:rsid w:val="00627A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627A67"/>
  </w:style>
  <w:style w:type="character" w:styleId="Strong">
    <w:name w:val="Strong"/>
    <w:basedOn w:val="DefaultParagraphFont"/>
    <w:uiPriority w:val="22"/>
    <w:qFormat/>
    <w:rsid w:val="00627A67"/>
    <w:rPr>
      <w:b/>
      <w:bCs/>
    </w:rPr>
  </w:style>
  <w:style w:type="character" w:customStyle="1" w:styleId="Heading2Char">
    <w:name w:val="Heading 2 Char"/>
    <w:basedOn w:val="DefaultParagraphFont"/>
    <w:link w:val="Heading2"/>
    <w:uiPriority w:val="9"/>
    <w:rsid w:val="009F3A71"/>
    <w:rPr>
      <w:rFonts w:ascii="Arial" w:eastAsiaTheme="majorEastAsia" w:hAnsi="Arial" w:cstheme="majorBidi"/>
      <w:sz w:val="28"/>
      <w:szCs w:val="26"/>
    </w:rPr>
  </w:style>
  <w:style w:type="paragraph" w:customStyle="1" w:styleId="wp-caption-text">
    <w:name w:val="wp-caption-text"/>
    <w:basedOn w:val="Normal"/>
    <w:rsid w:val="00627A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627A67"/>
    <w:rPr>
      <w:color w:val="0000FF"/>
      <w:u w:val="single"/>
    </w:rPr>
  </w:style>
  <w:style w:type="paragraph" w:styleId="HTMLAddress">
    <w:name w:val="HTML Address"/>
    <w:basedOn w:val="Normal"/>
    <w:link w:val="HTMLAddressChar"/>
    <w:uiPriority w:val="99"/>
    <w:semiHidden/>
    <w:unhideWhenUsed/>
    <w:rsid w:val="00627A67"/>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uiPriority w:val="99"/>
    <w:semiHidden/>
    <w:rsid w:val="00627A67"/>
    <w:rPr>
      <w:rFonts w:ascii="Times New Roman" w:eastAsia="Times New Roman" w:hAnsi="Times New Roman" w:cs="Times New Roman"/>
      <w:i/>
      <w:iCs/>
      <w:sz w:val="24"/>
      <w:szCs w:val="24"/>
      <w:lang w:eastAsia="en-AU"/>
    </w:rPr>
  </w:style>
  <w:style w:type="character" w:styleId="Emphasis">
    <w:name w:val="Emphasis"/>
    <w:basedOn w:val="DefaultParagraphFont"/>
    <w:uiPriority w:val="20"/>
    <w:qFormat/>
    <w:rsid w:val="00627A67"/>
    <w:rPr>
      <w:i/>
      <w:iCs/>
    </w:rPr>
  </w:style>
  <w:style w:type="character" w:customStyle="1" w:styleId="Heading5Char">
    <w:name w:val="Heading 5 Char"/>
    <w:basedOn w:val="DefaultParagraphFont"/>
    <w:link w:val="Heading5"/>
    <w:uiPriority w:val="9"/>
    <w:semiHidden/>
    <w:rsid w:val="00627A67"/>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6D3EC8"/>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6D3EC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D3EC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D3E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3EC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9F3A71"/>
    <w:pPr>
      <w:ind w:left="720"/>
      <w:contextualSpacing/>
    </w:pPr>
  </w:style>
  <w:style w:type="paragraph" w:styleId="Title">
    <w:name w:val="Title"/>
    <w:basedOn w:val="Normal"/>
    <w:next w:val="Normal"/>
    <w:link w:val="TitleChar"/>
    <w:uiPriority w:val="10"/>
    <w:qFormat/>
    <w:rsid w:val="00784524"/>
    <w:pPr>
      <w:spacing w:after="36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84524"/>
    <w:rPr>
      <w:rFonts w:ascii="Arial" w:eastAsiaTheme="majorEastAsia" w:hAnsi="Arial" w:cstheme="majorBidi"/>
      <w:spacing w:val="-10"/>
      <w:kern w:val="28"/>
      <w:sz w:val="56"/>
      <w:szCs w:val="56"/>
    </w:rPr>
  </w:style>
  <w:style w:type="paragraph" w:styleId="Caption">
    <w:name w:val="caption"/>
    <w:basedOn w:val="Normal"/>
    <w:next w:val="Normal"/>
    <w:uiPriority w:val="99"/>
    <w:qFormat/>
    <w:rsid w:val="00123C5D"/>
    <w:pPr>
      <w:spacing w:before="120" w:after="60"/>
      <w:jc w:val="center"/>
    </w:pPr>
    <w:rPr>
      <w:rFonts w:eastAsia="Calibri" w:cs="Times New Roman"/>
      <w:b/>
      <w:bCs/>
      <w:i/>
      <w:sz w:val="20"/>
      <w:szCs w:val="20"/>
    </w:rPr>
  </w:style>
  <w:style w:type="paragraph" w:styleId="FootnoteText">
    <w:name w:val="footnote text"/>
    <w:basedOn w:val="Normal"/>
    <w:link w:val="FootnoteTextChar"/>
    <w:uiPriority w:val="99"/>
    <w:semiHidden/>
    <w:rsid w:val="00724E49"/>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724E49"/>
    <w:rPr>
      <w:rFonts w:ascii="Calibri" w:eastAsia="Calibri" w:hAnsi="Calibri" w:cs="Times New Roman"/>
      <w:sz w:val="20"/>
      <w:szCs w:val="20"/>
      <w:lang w:val="en-US"/>
    </w:rPr>
  </w:style>
  <w:style w:type="character" w:styleId="FootnoteReference">
    <w:name w:val="footnote reference"/>
    <w:uiPriority w:val="99"/>
    <w:semiHidden/>
    <w:rsid w:val="00724E49"/>
    <w:rPr>
      <w:rFonts w:cs="Times New Roman"/>
      <w:vertAlign w:val="superscript"/>
    </w:rPr>
  </w:style>
  <w:style w:type="table" w:customStyle="1" w:styleId="GridTable4-Accent31">
    <w:name w:val="Grid Table 4 - Accent 31"/>
    <w:basedOn w:val="TableNormal"/>
    <w:uiPriority w:val="49"/>
    <w:rsid w:val="00123C5D"/>
    <w:pPr>
      <w:spacing w:after="0" w:line="240" w:lineRule="auto"/>
    </w:pPr>
    <w:rPr>
      <w:rFonts w:ascii="Calibri" w:eastAsia="Calibri" w:hAnsi="Calibri" w:cs="Times New Roman"/>
      <w:sz w:val="20"/>
      <w:szCs w:val="20"/>
      <w:lang w:eastAsia="en-AU"/>
    </w:rPr>
    <w:tblPr>
      <w:tblStyleRowBandSize w:val="1"/>
      <w:tblStyleColBandSize w:val="1"/>
      <w:jc w:val="cente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rPr>
      <w:jc w:val="center"/>
    </w:tr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X">
    <w:name w:val="TableX"/>
    <w:basedOn w:val="Normal"/>
    <w:link w:val="TableXChar"/>
    <w:qFormat/>
    <w:rsid w:val="00123C5D"/>
    <w:pPr>
      <w:spacing w:before="60" w:after="60" w:line="240" w:lineRule="auto"/>
      <w:jc w:val="center"/>
    </w:pPr>
    <w:rPr>
      <w:rFonts w:eastAsia="PMingLiU" w:cstheme="minorHAnsi"/>
      <w:sz w:val="16"/>
      <w:szCs w:val="18"/>
      <w:lang w:eastAsia="en-AU" w:bidi="en-US"/>
    </w:rPr>
  </w:style>
  <w:style w:type="character" w:customStyle="1" w:styleId="TableXChar">
    <w:name w:val="TableX Char"/>
    <w:basedOn w:val="DefaultParagraphFont"/>
    <w:link w:val="TableX"/>
    <w:rsid w:val="00123C5D"/>
    <w:rPr>
      <w:rFonts w:ascii="Arial" w:eastAsia="PMingLiU" w:hAnsi="Arial" w:cstheme="minorHAnsi"/>
      <w:sz w:val="16"/>
      <w:szCs w:val="18"/>
      <w:lang w:eastAsia="en-AU" w:bidi="en-US"/>
    </w:rPr>
  </w:style>
  <w:style w:type="character" w:customStyle="1" w:styleId="ListParagraphChar">
    <w:name w:val="List Paragraph Char"/>
    <w:link w:val="ListParagraph"/>
    <w:uiPriority w:val="34"/>
    <w:rsid w:val="00D910C6"/>
    <w:rPr>
      <w:rFonts w:ascii="Arial" w:hAnsi="Arial"/>
    </w:rPr>
  </w:style>
  <w:style w:type="paragraph" w:styleId="BalloonText">
    <w:name w:val="Balloon Text"/>
    <w:basedOn w:val="Normal"/>
    <w:link w:val="BalloonTextChar"/>
    <w:uiPriority w:val="99"/>
    <w:semiHidden/>
    <w:unhideWhenUsed/>
    <w:rsid w:val="00EC2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68394">
      <w:bodyDiv w:val="1"/>
      <w:marLeft w:val="0"/>
      <w:marRight w:val="0"/>
      <w:marTop w:val="0"/>
      <w:marBottom w:val="0"/>
      <w:divBdr>
        <w:top w:val="none" w:sz="0" w:space="0" w:color="auto"/>
        <w:left w:val="none" w:sz="0" w:space="0" w:color="auto"/>
        <w:bottom w:val="none" w:sz="0" w:space="0" w:color="auto"/>
        <w:right w:val="none" w:sz="0" w:space="0" w:color="auto"/>
      </w:divBdr>
      <w:divsChild>
        <w:div w:id="1246957149">
          <w:marLeft w:val="0"/>
          <w:marRight w:val="0"/>
          <w:marTop w:val="0"/>
          <w:marBottom w:val="0"/>
          <w:divBdr>
            <w:top w:val="none" w:sz="0" w:space="0" w:color="auto"/>
            <w:left w:val="none" w:sz="0" w:space="0" w:color="auto"/>
            <w:bottom w:val="none" w:sz="0" w:space="0" w:color="auto"/>
            <w:right w:val="none" w:sz="0" w:space="0" w:color="auto"/>
          </w:divBdr>
        </w:div>
      </w:divsChild>
    </w:div>
    <w:div w:id="1107575425">
      <w:bodyDiv w:val="1"/>
      <w:marLeft w:val="0"/>
      <w:marRight w:val="0"/>
      <w:marTop w:val="0"/>
      <w:marBottom w:val="0"/>
      <w:divBdr>
        <w:top w:val="none" w:sz="0" w:space="0" w:color="auto"/>
        <w:left w:val="none" w:sz="0" w:space="0" w:color="auto"/>
        <w:bottom w:val="none" w:sz="0" w:space="0" w:color="auto"/>
        <w:right w:val="none" w:sz="0" w:space="0" w:color="auto"/>
      </w:divBdr>
    </w:div>
    <w:div w:id="1977444458">
      <w:bodyDiv w:val="1"/>
      <w:marLeft w:val="0"/>
      <w:marRight w:val="0"/>
      <w:marTop w:val="0"/>
      <w:marBottom w:val="0"/>
      <w:divBdr>
        <w:top w:val="none" w:sz="0" w:space="0" w:color="auto"/>
        <w:left w:val="none" w:sz="0" w:space="0" w:color="auto"/>
        <w:bottom w:val="none" w:sz="0" w:space="0" w:color="auto"/>
        <w:right w:val="none" w:sz="0" w:space="0" w:color="auto"/>
      </w:divBdr>
      <w:divsChild>
        <w:div w:id="1064640606">
          <w:marLeft w:val="0"/>
          <w:marRight w:val="0"/>
          <w:marTop w:val="0"/>
          <w:marBottom w:val="0"/>
          <w:divBdr>
            <w:top w:val="none" w:sz="0" w:space="0" w:color="auto"/>
            <w:left w:val="none" w:sz="0" w:space="0" w:color="auto"/>
            <w:bottom w:val="none" w:sz="0" w:space="0" w:color="auto"/>
            <w:right w:val="none" w:sz="0" w:space="0" w:color="auto"/>
          </w:divBdr>
        </w:div>
        <w:div w:id="913467625">
          <w:marLeft w:val="0"/>
          <w:marRight w:val="0"/>
          <w:marTop w:val="0"/>
          <w:marBottom w:val="0"/>
          <w:divBdr>
            <w:top w:val="none" w:sz="0" w:space="0" w:color="auto"/>
            <w:left w:val="none" w:sz="0" w:space="0" w:color="auto"/>
            <w:bottom w:val="none" w:sz="0" w:space="0" w:color="auto"/>
            <w:right w:val="none" w:sz="0" w:space="0" w:color="auto"/>
          </w:divBdr>
        </w:div>
        <w:div w:id="1715275656">
          <w:marLeft w:val="0"/>
          <w:marRight w:val="0"/>
          <w:marTop w:val="0"/>
          <w:marBottom w:val="0"/>
          <w:divBdr>
            <w:top w:val="none" w:sz="0" w:space="0" w:color="auto"/>
            <w:left w:val="none" w:sz="0" w:space="0" w:color="auto"/>
            <w:bottom w:val="none" w:sz="0" w:space="0" w:color="auto"/>
            <w:right w:val="none" w:sz="0" w:space="0" w:color="auto"/>
          </w:divBdr>
        </w:div>
        <w:div w:id="1748308974">
          <w:marLeft w:val="0"/>
          <w:marRight w:val="0"/>
          <w:marTop w:val="0"/>
          <w:marBottom w:val="0"/>
          <w:divBdr>
            <w:top w:val="none" w:sz="0" w:space="0" w:color="auto"/>
            <w:left w:val="none" w:sz="0" w:space="0" w:color="auto"/>
            <w:bottom w:val="none" w:sz="0" w:space="0" w:color="auto"/>
            <w:right w:val="none" w:sz="0" w:space="0" w:color="auto"/>
          </w:divBdr>
        </w:div>
        <w:div w:id="143010196">
          <w:marLeft w:val="0"/>
          <w:marRight w:val="0"/>
          <w:marTop w:val="0"/>
          <w:marBottom w:val="0"/>
          <w:divBdr>
            <w:top w:val="none" w:sz="0" w:space="0" w:color="auto"/>
            <w:left w:val="none" w:sz="0" w:space="0" w:color="auto"/>
            <w:bottom w:val="none" w:sz="0" w:space="0" w:color="auto"/>
            <w:right w:val="none" w:sz="0" w:space="0" w:color="auto"/>
          </w:divBdr>
        </w:div>
        <w:div w:id="645359944">
          <w:marLeft w:val="0"/>
          <w:marRight w:val="0"/>
          <w:marTop w:val="0"/>
          <w:marBottom w:val="0"/>
          <w:divBdr>
            <w:top w:val="none" w:sz="0" w:space="0" w:color="auto"/>
            <w:left w:val="none" w:sz="0" w:space="0" w:color="auto"/>
            <w:bottom w:val="none" w:sz="0" w:space="0" w:color="auto"/>
            <w:right w:val="none" w:sz="0" w:space="0" w:color="auto"/>
          </w:divBdr>
        </w:div>
        <w:div w:id="1653097444">
          <w:marLeft w:val="0"/>
          <w:marRight w:val="0"/>
          <w:marTop w:val="0"/>
          <w:marBottom w:val="0"/>
          <w:divBdr>
            <w:top w:val="none" w:sz="0" w:space="0" w:color="auto"/>
            <w:left w:val="none" w:sz="0" w:space="0" w:color="auto"/>
            <w:bottom w:val="none" w:sz="0" w:space="0" w:color="auto"/>
            <w:right w:val="none" w:sz="0" w:space="0" w:color="auto"/>
          </w:divBdr>
        </w:div>
        <w:div w:id="1151092384">
          <w:marLeft w:val="0"/>
          <w:marRight w:val="0"/>
          <w:marTop w:val="0"/>
          <w:marBottom w:val="0"/>
          <w:divBdr>
            <w:top w:val="none" w:sz="0" w:space="0" w:color="auto"/>
            <w:left w:val="none" w:sz="0" w:space="0" w:color="auto"/>
            <w:bottom w:val="none" w:sz="0" w:space="0" w:color="auto"/>
            <w:right w:val="none" w:sz="0" w:space="0" w:color="auto"/>
          </w:divBdr>
        </w:div>
      </w:divsChild>
    </w:div>
    <w:div w:id="2142846403">
      <w:bodyDiv w:val="1"/>
      <w:marLeft w:val="0"/>
      <w:marRight w:val="0"/>
      <w:marTop w:val="0"/>
      <w:marBottom w:val="0"/>
      <w:divBdr>
        <w:top w:val="none" w:sz="0" w:space="0" w:color="auto"/>
        <w:left w:val="none" w:sz="0" w:space="0" w:color="auto"/>
        <w:bottom w:val="none" w:sz="0" w:space="0" w:color="auto"/>
        <w:right w:val="none" w:sz="0" w:space="0" w:color="auto"/>
      </w:divBdr>
      <w:divsChild>
        <w:div w:id="248581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yperlink" Target="http://www.amnesty.org.au/images/uploads/about/Amnesty_report_2016_Human_rights_abuses_in_DRC_power_global_cobalt_trade.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1049</Words>
  <Characters>5980</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Carr</dc:creator>
  <cp:lastModifiedBy>Patricia Rojas</cp:lastModifiedBy>
  <cp:revision>3</cp:revision>
  <dcterms:created xsi:type="dcterms:W3CDTF">2016-12-21T04:01:00Z</dcterms:created>
  <dcterms:modified xsi:type="dcterms:W3CDTF">2016-12-21T04:01:00Z</dcterms:modified>
</cp:coreProperties>
</file>